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20612" w14:textId="77777777" w:rsidR="00B02D18" w:rsidRDefault="00B02D18">
      <w:pPr>
        <w:rPr>
          <w:rFonts w:ascii="仿宋_GB2312" w:eastAsia="仿宋_GB2312"/>
          <w:sz w:val="32"/>
          <w:szCs w:val="32"/>
        </w:rPr>
      </w:pPr>
    </w:p>
    <w:p w14:paraId="5FAFCC36" w14:textId="77777777" w:rsidR="00B02D18" w:rsidRDefault="005E03B6">
      <w:pPr>
        <w:spacing w:line="560" w:lineRule="exact"/>
        <w:jc w:val="center"/>
        <w:rPr>
          <w:rFonts w:ascii="方正小标宋简体" w:eastAsia="方正小标宋简体" w:hAnsi="宋体" w:cs="仿宋_GB2312"/>
          <w:sz w:val="44"/>
          <w:szCs w:val="44"/>
        </w:rPr>
      </w:pPr>
      <w:r>
        <w:rPr>
          <w:rFonts w:ascii="方正小标宋简体" w:eastAsia="方正小标宋简体" w:hAnsi="宋体" w:cs="仿宋_GB2312" w:hint="eastAsia"/>
          <w:sz w:val="44"/>
          <w:szCs w:val="44"/>
        </w:rPr>
        <w:t>《武汉市现代物流空间布局专项规划</w:t>
      </w:r>
    </w:p>
    <w:p w14:paraId="763A0E21" w14:textId="77777777" w:rsidR="00B02D18" w:rsidRDefault="005E03B6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宋体" w:cs="仿宋_GB2312" w:hint="eastAsia"/>
          <w:sz w:val="44"/>
          <w:szCs w:val="44"/>
        </w:rPr>
        <w:t>（202</w:t>
      </w:r>
      <w:r>
        <w:rPr>
          <w:rFonts w:ascii="方正小标宋简体" w:eastAsia="方正小标宋简体" w:hAnsi="宋体" w:cs="仿宋_GB2312"/>
          <w:sz w:val="44"/>
          <w:szCs w:val="44"/>
        </w:rPr>
        <w:t>1</w:t>
      </w:r>
      <w:r>
        <w:rPr>
          <w:rFonts w:ascii="方正小标宋简体" w:eastAsia="方正小标宋简体" w:hAnsi="宋体" w:cs="仿宋_GB2312" w:hint="eastAsia"/>
          <w:sz w:val="44"/>
          <w:szCs w:val="44"/>
        </w:rPr>
        <w:t>-2035年）》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（征求意见稿）</w:t>
      </w:r>
    </w:p>
    <w:p w14:paraId="2C3CF203" w14:textId="77777777" w:rsidR="00B02D18" w:rsidRDefault="00B02D18">
      <w:pPr>
        <w:rPr>
          <w:rFonts w:ascii="仿宋_GB2312" w:eastAsia="仿宋_GB2312"/>
          <w:sz w:val="32"/>
          <w:szCs w:val="32"/>
        </w:rPr>
      </w:pPr>
    </w:p>
    <w:p w14:paraId="391D37D4" w14:textId="77777777" w:rsidR="00B02D18" w:rsidRDefault="005E03B6">
      <w:pPr>
        <w:spacing w:line="560" w:lineRule="exact"/>
        <w:ind w:firstLineChars="200" w:firstLine="640"/>
        <w:outlineLvl w:val="0"/>
        <w:rPr>
          <w:rFonts w:ascii="黑体" w:eastAsia="黑体" w:hAnsi="Times New Roman" w:cs="Times New Roman"/>
          <w:sz w:val="32"/>
          <w:szCs w:val="32"/>
        </w:rPr>
      </w:pPr>
      <w:r>
        <w:rPr>
          <w:rFonts w:ascii="黑体" w:eastAsia="黑体" w:hAnsi="Times New Roman" w:cs="Times New Roman" w:hint="eastAsia"/>
          <w:sz w:val="32"/>
          <w:szCs w:val="32"/>
        </w:rPr>
        <w:t>一</w:t>
      </w:r>
      <w:r>
        <w:rPr>
          <w:rFonts w:ascii="黑体" w:eastAsia="黑体" w:hAnsi="Times New Roman" w:cs="Times New Roman"/>
          <w:sz w:val="32"/>
          <w:szCs w:val="32"/>
        </w:rPr>
        <w:t>、</w:t>
      </w:r>
      <w:r>
        <w:rPr>
          <w:rFonts w:ascii="黑体" w:eastAsia="黑体" w:hAnsi="Times New Roman" w:cs="Times New Roman" w:hint="eastAsia"/>
          <w:sz w:val="32"/>
          <w:szCs w:val="32"/>
        </w:rPr>
        <w:t>规划目标与原则</w:t>
      </w:r>
    </w:p>
    <w:p w14:paraId="30F39895" w14:textId="77777777" w:rsidR="00B02D18" w:rsidRDefault="005E03B6">
      <w:pPr>
        <w:spacing w:line="560" w:lineRule="exact"/>
        <w:ind w:firstLineChars="196" w:firstLine="630"/>
        <w:outlineLvl w:val="1"/>
        <w:rPr>
          <w:rFonts w:ascii="楷体_GB2312" w:eastAsia="楷体_GB2312" w:hAnsi="宋体" w:cs="Times New Roman"/>
          <w:b/>
          <w:sz w:val="32"/>
          <w:szCs w:val="32"/>
        </w:rPr>
      </w:pPr>
      <w:r>
        <w:rPr>
          <w:rFonts w:ascii="楷体_GB2312" w:eastAsia="楷体_GB2312" w:hAnsi="宋体" w:cs="Times New Roman" w:hint="eastAsia"/>
          <w:b/>
          <w:sz w:val="32"/>
          <w:szCs w:val="32"/>
        </w:rPr>
        <w:t>（一）规划范围和期限</w:t>
      </w:r>
    </w:p>
    <w:p w14:paraId="0C315A6F" w14:textId="58B93A85" w:rsidR="00B02D18" w:rsidRDefault="005E03B6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 w:hAnsi="华文中宋"/>
          <w:sz w:val="32"/>
          <w:szCs w:val="32"/>
        </w:rPr>
      </w:pPr>
      <w:r>
        <w:rPr>
          <w:rFonts w:ascii="仿宋_GB2312" w:eastAsia="仿宋_GB2312" w:hAnsi="华文中宋" w:hint="eastAsia"/>
          <w:sz w:val="32"/>
          <w:szCs w:val="32"/>
        </w:rPr>
        <w:t>本次规划范围为武汉市域，面积8</w:t>
      </w:r>
      <w:r>
        <w:rPr>
          <w:rFonts w:ascii="仿宋_GB2312" w:eastAsia="仿宋_GB2312" w:hAnsi="华文中宋"/>
          <w:sz w:val="32"/>
          <w:szCs w:val="32"/>
        </w:rPr>
        <w:t>569</w:t>
      </w:r>
      <w:r>
        <w:rPr>
          <w:rFonts w:ascii="仿宋_GB2312" w:eastAsia="仿宋_GB2312" w:hAnsi="华文中宋" w:hint="eastAsia"/>
          <w:sz w:val="32"/>
          <w:szCs w:val="32"/>
        </w:rPr>
        <w:t>平方公里</w:t>
      </w:r>
      <w:r>
        <w:rPr>
          <w:rFonts w:ascii="仿宋_GB2312" w:eastAsia="仿宋_GB2312" w:hAnsi="华文中宋"/>
          <w:sz w:val="32"/>
          <w:szCs w:val="32"/>
        </w:rPr>
        <w:t>，以规划的城镇集中建设区为重点</w:t>
      </w:r>
      <w:r>
        <w:rPr>
          <w:rFonts w:ascii="仿宋_GB2312" w:eastAsia="仿宋_GB2312" w:hAnsi="华文中宋" w:hint="eastAsia"/>
          <w:sz w:val="32"/>
          <w:szCs w:val="32"/>
        </w:rPr>
        <w:t>；</w:t>
      </w:r>
      <w:r>
        <w:rPr>
          <w:rFonts w:ascii="仿宋_GB2312" w:eastAsia="仿宋_GB2312" w:hAnsi="仿宋" w:hint="eastAsia"/>
          <w:sz w:val="32"/>
          <w:szCs w:val="32"/>
        </w:rPr>
        <w:t>规划基期年为202</w:t>
      </w:r>
      <w:r>
        <w:rPr>
          <w:rFonts w:ascii="仿宋_GB2312" w:eastAsia="仿宋_GB2312" w:hAnsi="仿宋"/>
          <w:sz w:val="32"/>
          <w:szCs w:val="32"/>
        </w:rPr>
        <w:t>1</w:t>
      </w:r>
      <w:r>
        <w:rPr>
          <w:rFonts w:ascii="仿宋_GB2312" w:eastAsia="仿宋_GB2312" w:hAnsi="仿宋" w:hint="eastAsia"/>
          <w:sz w:val="32"/>
          <w:szCs w:val="32"/>
        </w:rPr>
        <w:t>年，</w:t>
      </w:r>
      <w:r>
        <w:rPr>
          <w:rFonts w:ascii="仿宋_GB2312" w:eastAsia="仿宋_GB2312" w:hAnsi="华文中宋" w:hint="eastAsia"/>
          <w:sz w:val="32"/>
          <w:szCs w:val="32"/>
        </w:rPr>
        <w:t>规划期限为20</w:t>
      </w:r>
      <w:r>
        <w:rPr>
          <w:rFonts w:ascii="仿宋_GB2312" w:eastAsia="仿宋_GB2312" w:hAnsi="华文中宋"/>
          <w:sz w:val="32"/>
          <w:szCs w:val="32"/>
        </w:rPr>
        <w:t>21</w:t>
      </w:r>
      <w:r>
        <w:rPr>
          <w:rFonts w:ascii="仿宋_GB2312" w:eastAsia="仿宋_GB2312" w:hAnsi="华文中宋" w:hint="eastAsia"/>
          <w:sz w:val="32"/>
          <w:szCs w:val="32"/>
        </w:rPr>
        <w:t>至203</w:t>
      </w:r>
      <w:r>
        <w:rPr>
          <w:rFonts w:ascii="仿宋_GB2312" w:eastAsia="仿宋_GB2312" w:hAnsi="华文中宋"/>
          <w:sz w:val="32"/>
          <w:szCs w:val="32"/>
        </w:rPr>
        <w:t>5</w:t>
      </w:r>
      <w:r>
        <w:rPr>
          <w:rFonts w:ascii="仿宋_GB2312" w:eastAsia="仿宋_GB2312" w:hAnsi="华文中宋" w:hint="eastAsia"/>
          <w:sz w:val="32"/>
          <w:szCs w:val="32"/>
        </w:rPr>
        <w:t>年。</w:t>
      </w:r>
    </w:p>
    <w:p w14:paraId="5C6700AE" w14:textId="77777777" w:rsidR="00B02D18" w:rsidRDefault="005E03B6">
      <w:pPr>
        <w:spacing w:line="560" w:lineRule="exact"/>
        <w:ind w:firstLineChars="196" w:firstLine="630"/>
        <w:outlineLvl w:val="1"/>
        <w:rPr>
          <w:rFonts w:ascii="楷体_GB2312" w:eastAsia="楷体_GB2312" w:hAnsi="宋体" w:cs="Times New Roman"/>
          <w:b/>
          <w:sz w:val="32"/>
          <w:szCs w:val="32"/>
        </w:rPr>
      </w:pPr>
      <w:r>
        <w:rPr>
          <w:rFonts w:ascii="楷体_GB2312" w:eastAsia="楷体_GB2312" w:hAnsi="宋体" w:cs="Times New Roman" w:hint="eastAsia"/>
          <w:b/>
          <w:sz w:val="32"/>
          <w:szCs w:val="32"/>
        </w:rPr>
        <w:t>（二）规划目标</w:t>
      </w:r>
    </w:p>
    <w:p w14:paraId="7692016D" w14:textId="77777777" w:rsidR="00B02D18" w:rsidRDefault="005E03B6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围绕国际性综合交通枢纽、国家商贸物流中心目标定位，承载国家物流枢纽建设的使命担当，以枢纽服务功能为主导，加快形成与区域经济、产业体系相适应的现代物流网络，到</w:t>
      </w:r>
      <w:r>
        <w:rPr>
          <w:rFonts w:ascii="仿宋_GB2312" w:eastAsia="仿宋_GB2312"/>
          <w:sz w:val="32"/>
          <w:szCs w:val="32"/>
        </w:rPr>
        <w:t>2035年基本建成</w:t>
      </w:r>
      <w:r>
        <w:rPr>
          <w:rFonts w:ascii="仿宋_GB2312" w:eastAsia="仿宋_GB2312" w:hint="eastAsia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便捷顺畅、经济高效、绿色集约、智能先进、安全可靠</w:t>
      </w:r>
      <w:r>
        <w:rPr>
          <w:rFonts w:ascii="仿宋_GB2312" w:eastAsia="仿宋_GB2312" w:hint="eastAsia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的国际物流枢纽城市，建设成为长江经济带的中部物流桥头堡、国家物流网络的战略核心，具有全球影响力的物流枢纽和供应链资源配置运筹中心。</w:t>
      </w:r>
    </w:p>
    <w:p w14:paraId="5A4DBA37" w14:textId="77777777" w:rsidR="00B02D18" w:rsidRDefault="005E03B6">
      <w:pPr>
        <w:spacing w:line="560" w:lineRule="exact"/>
        <w:ind w:firstLineChars="196" w:firstLine="630"/>
        <w:outlineLvl w:val="1"/>
        <w:rPr>
          <w:rFonts w:ascii="楷体_GB2312" w:eastAsia="楷体_GB2312" w:hAnsi="宋体" w:cs="Times New Roman"/>
          <w:b/>
          <w:sz w:val="32"/>
          <w:szCs w:val="32"/>
        </w:rPr>
      </w:pPr>
      <w:r>
        <w:rPr>
          <w:rFonts w:ascii="楷体_GB2312" w:eastAsia="楷体_GB2312" w:hAnsi="宋体" w:cs="Times New Roman" w:hint="eastAsia"/>
          <w:b/>
          <w:sz w:val="32"/>
          <w:szCs w:val="32"/>
        </w:rPr>
        <w:t>（三）规划原则</w:t>
      </w:r>
    </w:p>
    <w:p w14:paraId="72EDC77D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一是市场主导、政府引导。</w:t>
      </w:r>
      <w:r>
        <w:rPr>
          <w:rFonts w:ascii="仿宋_GB2312" w:eastAsia="仿宋_GB2312" w:hint="eastAsia"/>
          <w:sz w:val="32"/>
          <w:szCs w:val="32"/>
        </w:rPr>
        <w:t>充分发挥市场在资源配置中的基础性作用，有效发挥政府在规划、政策、标准等方面的引导性作用，真正实现规划的空间特性与政策属性紧密结合、可落地。</w:t>
      </w:r>
    </w:p>
    <w:p w14:paraId="270AFBC0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二是区域协同、高效联动。</w:t>
      </w:r>
      <w:r>
        <w:rPr>
          <w:rFonts w:ascii="仿宋_GB2312" w:eastAsia="仿宋_GB2312" w:hint="eastAsia"/>
          <w:sz w:val="32"/>
          <w:szCs w:val="32"/>
        </w:rPr>
        <w:t>强化“一主引领”作用，加快完善全市物流空间发展格局，推动形成布局合理、功能完</w:t>
      </w:r>
      <w:r>
        <w:rPr>
          <w:rFonts w:ascii="仿宋_GB2312" w:eastAsia="仿宋_GB2312" w:hint="eastAsia"/>
          <w:sz w:val="32"/>
          <w:szCs w:val="32"/>
        </w:rPr>
        <w:lastRenderedPageBreak/>
        <w:t>善、衔接顺畅、运作高效的区域物流设施体系，带动区域物流整体发展质量和水平的提升。</w:t>
      </w:r>
    </w:p>
    <w:p w14:paraId="6B68B99B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三是超前谋划、融合共生。</w:t>
      </w:r>
      <w:r>
        <w:rPr>
          <w:rFonts w:ascii="仿宋_GB2312" w:eastAsia="仿宋_GB2312" w:hint="eastAsia"/>
          <w:sz w:val="32"/>
          <w:szCs w:val="32"/>
        </w:rPr>
        <w:t>顺应城市空间和物流产业的拓展规律，适度超前布局建设和整体提升物流设施；促进物流与产业的深度融合发展，强化物流枢纽对产业发展的支撑和带动作用，打造港产城融合共生、一体化发展新范式。</w:t>
      </w:r>
    </w:p>
    <w:p w14:paraId="2BA56CBD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四是资源集约、服务民生。</w:t>
      </w:r>
      <w:r>
        <w:rPr>
          <w:rFonts w:ascii="仿宋_GB2312" w:eastAsia="仿宋_GB2312" w:hint="eastAsia"/>
          <w:sz w:val="32"/>
          <w:szCs w:val="32"/>
        </w:rPr>
        <w:t>构建高效顺畅的多式联运系统，推动物流资源有效整合配置，强化物流仓储用地集约节约；提供高质量、多样化的物流服务，构建高效、便捷民生物流体系以及快速、韧性应急物流体系。</w:t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04496B33" w14:textId="77777777" w:rsidR="00B02D18" w:rsidRDefault="005E03B6">
      <w:pPr>
        <w:spacing w:line="560" w:lineRule="exact"/>
        <w:ind w:firstLineChars="200" w:firstLine="640"/>
        <w:outlineLvl w:val="0"/>
        <w:rPr>
          <w:rFonts w:ascii="黑体" w:eastAsia="黑体" w:hAnsi="Times New Roman" w:cs="Times New Roman"/>
          <w:sz w:val="32"/>
          <w:szCs w:val="32"/>
        </w:rPr>
      </w:pPr>
      <w:r>
        <w:rPr>
          <w:rFonts w:ascii="黑体" w:eastAsia="黑体" w:hAnsi="Times New Roman" w:cs="Times New Roman" w:hint="eastAsia"/>
          <w:sz w:val="32"/>
          <w:szCs w:val="32"/>
        </w:rPr>
        <w:t>二、物流设施体系</w:t>
      </w:r>
    </w:p>
    <w:p w14:paraId="0FA24385" w14:textId="77777777" w:rsidR="00B02D18" w:rsidRDefault="005E03B6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顺应新形势下新兴物流业态发展，延续和扩展现行《武汉市物流业空间发展规划（</w:t>
      </w:r>
      <w:r>
        <w:rPr>
          <w:rFonts w:ascii="仿宋_GB2312" w:eastAsia="仿宋_GB2312"/>
          <w:sz w:val="32"/>
          <w:szCs w:val="32"/>
        </w:rPr>
        <w:t>2012-2020年）》的控制标准，规划</w:t>
      </w:r>
      <w:r>
        <w:rPr>
          <w:rFonts w:ascii="仿宋_GB2312" w:eastAsia="仿宋_GB2312" w:hint="eastAsia"/>
          <w:sz w:val="32"/>
          <w:szCs w:val="32"/>
        </w:rPr>
        <w:t>构建</w:t>
      </w:r>
      <w:r>
        <w:rPr>
          <w:rFonts w:ascii="仿宋_GB2312" w:eastAsia="仿宋_GB2312"/>
          <w:sz w:val="32"/>
          <w:szCs w:val="32"/>
        </w:rPr>
        <w:t>物流园区、物流中心、末端配送点三级设施体系。</w:t>
      </w:r>
    </w:p>
    <w:p w14:paraId="5F04FD70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物流园区</w:t>
      </w:r>
      <w:r>
        <w:rPr>
          <w:rFonts w:ascii="仿宋_GB2312" w:eastAsia="仿宋_GB2312"/>
          <w:sz w:val="32"/>
          <w:szCs w:val="32"/>
        </w:rPr>
        <w:t>是为了实现物流设施集约化和物流运作共同化，结合城市货流方向和主要交通设施布局的物流产业集聚区，占地规模一般为2-5平方公里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5D7B8D66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物流中心</w:t>
      </w:r>
      <w:r>
        <w:rPr>
          <w:rFonts w:ascii="仿宋_GB2312" w:eastAsia="仿宋_GB2312"/>
          <w:sz w:val="32"/>
          <w:szCs w:val="32"/>
        </w:rPr>
        <w:t>是依托工业园区和商贸基地，结合交通干线</w:t>
      </w:r>
      <w:r>
        <w:rPr>
          <w:rFonts w:ascii="仿宋_GB2312" w:eastAsia="仿宋_GB2312" w:hint="eastAsia"/>
          <w:sz w:val="32"/>
          <w:szCs w:val="32"/>
        </w:rPr>
        <w:t>布局的</w:t>
      </w:r>
      <w:r>
        <w:rPr>
          <w:rFonts w:ascii="仿宋_GB2312" w:eastAsia="仿宋_GB2312"/>
          <w:sz w:val="32"/>
          <w:szCs w:val="32"/>
        </w:rPr>
        <w:t>专业化物流节点，占地规模一般为10-25公顷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67EC687B" w14:textId="0F4CDABE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末端配送点</w:t>
      </w:r>
      <w:r>
        <w:rPr>
          <w:rFonts w:ascii="仿宋_GB2312" w:eastAsia="仿宋_GB2312"/>
          <w:sz w:val="32"/>
          <w:szCs w:val="32"/>
        </w:rPr>
        <w:t>是为城乡地区提供</w:t>
      </w:r>
      <w:r>
        <w:rPr>
          <w:rFonts w:ascii="仿宋_GB2312" w:eastAsia="仿宋_GB2312" w:hint="eastAsia"/>
          <w:sz w:val="32"/>
          <w:szCs w:val="32"/>
        </w:rPr>
        <w:t>配送</w:t>
      </w:r>
      <w:r>
        <w:rPr>
          <w:rFonts w:ascii="仿宋_GB2312" w:eastAsia="仿宋_GB2312"/>
          <w:sz w:val="32"/>
          <w:szCs w:val="32"/>
        </w:rPr>
        <w:t>服务的</w:t>
      </w:r>
      <w:r>
        <w:rPr>
          <w:rFonts w:ascii="仿宋_GB2312" w:eastAsia="仿宋_GB2312" w:hint="eastAsia"/>
          <w:sz w:val="32"/>
          <w:szCs w:val="32"/>
        </w:rPr>
        <w:t>物流站点</w:t>
      </w:r>
      <w:r>
        <w:rPr>
          <w:rFonts w:ascii="仿宋_GB2312" w:eastAsia="仿宋_GB2312"/>
          <w:sz w:val="32"/>
          <w:szCs w:val="32"/>
        </w:rPr>
        <w:t>，包括末端配送场所和末端营业网点，</w:t>
      </w:r>
      <w:r>
        <w:rPr>
          <w:rFonts w:ascii="仿宋_GB2312" w:eastAsia="仿宋_GB2312" w:hint="eastAsia"/>
          <w:sz w:val="32"/>
          <w:szCs w:val="32"/>
        </w:rPr>
        <w:t>采用建筑面积指标控制。末端配送场所用于装卸、分拣、暂存等，建筑面积</w:t>
      </w:r>
      <w:r>
        <w:rPr>
          <w:rFonts w:ascii="仿宋_GB2312" w:eastAsia="仿宋_GB2312"/>
          <w:sz w:val="32"/>
          <w:szCs w:val="32"/>
        </w:rPr>
        <w:t>500-1000平方米；末端营业网点用于快件收寄，建筑面积50-200平方米。</w:t>
      </w:r>
    </w:p>
    <w:p w14:paraId="73711C22" w14:textId="77777777" w:rsidR="00B02D18" w:rsidRDefault="005E03B6" w:rsidP="003A4E02">
      <w:pPr>
        <w:spacing w:line="560" w:lineRule="exact"/>
        <w:ind w:firstLineChars="200" w:firstLine="640"/>
        <w:outlineLvl w:val="0"/>
        <w:rPr>
          <w:rFonts w:ascii="黑体" w:eastAsia="黑体" w:hAnsi="Times New Roman" w:cs="Times New Roman"/>
          <w:sz w:val="32"/>
          <w:szCs w:val="32"/>
        </w:rPr>
      </w:pPr>
      <w:r>
        <w:rPr>
          <w:rFonts w:ascii="黑体" w:eastAsia="黑体" w:hAnsi="Times New Roman" w:cs="Times New Roman" w:hint="eastAsia"/>
          <w:sz w:val="32"/>
          <w:szCs w:val="32"/>
        </w:rPr>
        <w:lastRenderedPageBreak/>
        <w:t>三、空间布局</w:t>
      </w:r>
    </w:p>
    <w:p w14:paraId="5551424E" w14:textId="77777777" w:rsidR="00B02D18" w:rsidRDefault="005E03B6">
      <w:pPr>
        <w:spacing w:line="560" w:lineRule="exact"/>
        <w:ind w:firstLineChars="196" w:firstLine="630"/>
        <w:outlineLvl w:val="1"/>
        <w:rPr>
          <w:rFonts w:ascii="楷体_GB2312" w:eastAsia="楷体_GB2312" w:hAnsi="宋体" w:cs="Times New Roman"/>
          <w:b/>
          <w:sz w:val="32"/>
          <w:szCs w:val="32"/>
        </w:rPr>
      </w:pPr>
      <w:r>
        <w:rPr>
          <w:rFonts w:ascii="楷体_GB2312" w:eastAsia="楷体_GB2312" w:hAnsi="宋体" w:cs="Times New Roman" w:hint="eastAsia"/>
          <w:b/>
          <w:sz w:val="32"/>
          <w:szCs w:val="32"/>
        </w:rPr>
        <w:t>（一）物流空间结构</w:t>
      </w:r>
    </w:p>
    <w:p w14:paraId="29699137" w14:textId="77777777" w:rsidR="00B02D18" w:rsidRDefault="005E03B6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按照“建强枢纽、区域协同、补足短板”的总体策略，结合武汉市产业布局和空间发展特征，通过物流园区、物流中心和末端配送点等三级设施在空间及功能上的联动协作，构建</w:t>
      </w:r>
      <w:r>
        <w:rPr>
          <w:rFonts w:ascii="仿宋_GB2312" w:eastAsia="仿宋_GB2312" w:hint="eastAsia"/>
          <w:b/>
          <w:sz w:val="32"/>
          <w:szCs w:val="32"/>
        </w:rPr>
        <w:t>“四港四轴三集群”</w:t>
      </w:r>
      <w:r>
        <w:rPr>
          <w:rFonts w:ascii="仿宋_GB2312" w:eastAsia="仿宋_GB2312" w:hint="eastAsia"/>
          <w:sz w:val="32"/>
          <w:szCs w:val="32"/>
        </w:rPr>
        <w:t>的物流空间布局体系。其中：</w:t>
      </w:r>
    </w:p>
    <w:p w14:paraId="51F4AD84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“四港”</w:t>
      </w:r>
      <w:r>
        <w:rPr>
          <w:rFonts w:ascii="仿宋_GB2312" w:eastAsia="仿宋_GB2312" w:hint="eastAsia"/>
          <w:sz w:val="32"/>
          <w:szCs w:val="32"/>
        </w:rPr>
        <w:t>指打造阳逻国际港、吴家山国际陆港、天河国际空港和花湖国际空港等四大国际物流港，建设联通中西部、对接全国、面向国际的枢纽经济示范区，发挥国家物流枢纽网络的重要战略支点职能。</w:t>
      </w:r>
    </w:p>
    <w:p w14:paraId="32B1862F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“四轴”</w:t>
      </w:r>
      <w:r>
        <w:rPr>
          <w:rFonts w:ascii="仿宋_GB2312" w:eastAsia="仿宋_GB2312" w:hint="eastAsia"/>
          <w:sz w:val="32"/>
          <w:szCs w:val="32"/>
        </w:rPr>
        <w:t>指构建武鄂黄黄、汉孝、武咸、武仙四条区域物流协同发展轴，深化物流节点的区域联动、梯次发展，形成武汉城市圈重大物流基础设施网络。</w:t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5F757BC2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t>“三集群”</w:t>
      </w:r>
      <w:r>
        <w:rPr>
          <w:rFonts w:ascii="仿宋_GB2312" w:eastAsia="仿宋_GB2312" w:hint="eastAsia"/>
          <w:sz w:val="32"/>
          <w:szCs w:val="32"/>
        </w:rPr>
        <w:t>指以服务先进制造业为重点，布局车谷、光谷和武汉南部三大物流集群，进一步完善江南地区基础性物流空间供给，平衡市域物流系统的整体运作效率。</w:t>
      </w:r>
    </w:p>
    <w:p w14:paraId="3919B4A4" w14:textId="77777777" w:rsidR="00B02D18" w:rsidRDefault="005E03B6">
      <w:pPr>
        <w:spacing w:line="560" w:lineRule="exact"/>
        <w:ind w:firstLineChars="196" w:firstLine="630"/>
        <w:outlineLvl w:val="1"/>
        <w:rPr>
          <w:rFonts w:ascii="楷体_GB2312" w:eastAsia="楷体_GB2312" w:hAnsi="宋体" w:cs="Times New Roman"/>
          <w:b/>
          <w:sz w:val="32"/>
          <w:szCs w:val="32"/>
        </w:rPr>
      </w:pPr>
      <w:r>
        <w:rPr>
          <w:rFonts w:ascii="楷体_GB2312" w:eastAsia="楷体_GB2312" w:hAnsi="宋体" w:cs="Times New Roman" w:hint="eastAsia"/>
          <w:b/>
          <w:sz w:val="32"/>
          <w:szCs w:val="32"/>
        </w:rPr>
        <w:t>（二）物流园区规划布局</w:t>
      </w:r>
    </w:p>
    <w:p w14:paraId="2A33D863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1.国际物流港</w:t>
      </w:r>
    </w:p>
    <w:p w14:paraId="22011B85" w14:textId="7F783D0B" w:rsidR="00B02D18" w:rsidRDefault="005E03B6">
      <w:pPr>
        <w:spacing w:line="580" w:lineRule="exact"/>
        <w:ind w:firstLineChars="200" w:firstLine="643"/>
        <w:contextualSpacing/>
        <w:rPr>
          <w:rFonts w:ascii="仿宋_GB2312" w:eastAsia="仿宋_GB2312" w:hAnsi="华文仿宋"/>
          <w:sz w:val="32"/>
          <w:szCs w:val="32"/>
        </w:rPr>
      </w:pPr>
      <w:r>
        <w:rPr>
          <w:rFonts w:ascii="仿宋_GB2312" w:eastAsia="仿宋_GB2312" w:hAnsi="华文仿宋" w:hint="eastAsia"/>
          <w:b/>
          <w:bCs/>
          <w:sz w:val="32"/>
          <w:szCs w:val="32"/>
        </w:rPr>
        <w:t>阳逻国际港:</w:t>
      </w:r>
      <w:r>
        <w:rPr>
          <w:rFonts w:ascii="仿宋_GB2312" w:eastAsia="仿宋_GB2312" w:hAnsi="华文仿宋" w:hint="eastAsia"/>
          <w:sz w:val="32"/>
          <w:szCs w:val="32"/>
        </w:rPr>
        <w:t>以阳逻港为核心，由阳逻国际港口物流园、龙口国家粮食现代物流基地、阳逻电商物流园共同组成，用地面积</w:t>
      </w:r>
      <w:r w:rsidR="00D77BAE">
        <w:rPr>
          <w:rFonts w:ascii="仿宋_GB2312" w:eastAsia="仿宋_GB2312" w:hAnsi="华文仿宋"/>
          <w:sz w:val="32"/>
          <w:szCs w:val="32"/>
        </w:rPr>
        <w:t>24.7</w:t>
      </w:r>
      <w:r>
        <w:rPr>
          <w:rFonts w:ascii="仿宋_GB2312" w:eastAsia="仿宋_GB2312" w:hAnsi="华文仿宋" w:hint="eastAsia"/>
          <w:sz w:val="32"/>
          <w:szCs w:val="32"/>
        </w:rPr>
        <w:t>平方公里，打造中部地区枢纽港、辐射亚太的港口型枢纽、世界一流内河港口物流枢纽。</w:t>
      </w:r>
    </w:p>
    <w:p w14:paraId="1F8970B8" w14:textId="42CAC89B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吴家山国际陆港:</w:t>
      </w:r>
      <w:r>
        <w:rPr>
          <w:rFonts w:ascii="仿宋_GB2312" w:eastAsia="仿宋_GB2312" w:hint="eastAsia"/>
          <w:sz w:val="32"/>
          <w:szCs w:val="32"/>
        </w:rPr>
        <w:t>以吴家山铁路基地为核心，由陆港核心园区、产业配套园以及走马岭、舵落口、新沟三个联动发</w:t>
      </w:r>
      <w:r>
        <w:rPr>
          <w:rFonts w:ascii="仿宋_GB2312" w:eastAsia="仿宋_GB2312" w:hint="eastAsia"/>
          <w:sz w:val="32"/>
          <w:szCs w:val="32"/>
        </w:rPr>
        <w:lastRenderedPageBreak/>
        <w:t>展园区共同组成，用地面</w:t>
      </w:r>
      <w:r w:rsidRPr="0045696F">
        <w:rPr>
          <w:rFonts w:ascii="仿宋_GB2312" w:eastAsia="仿宋_GB2312" w:hint="eastAsia"/>
          <w:sz w:val="32"/>
          <w:szCs w:val="32"/>
        </w:rPr>
        <w:t>积约</w:t>
      </w:r>
      <w:r w:rsidRPr="0045696F">
        <w:rPr>
          <w:rFonts w:ascii="仿宋_GB2312" w:eastAsia="仿宋_GB2312"/>
          <w:sz w:val="32"/>
          <w:szCs w:val="32"/>
        </w:rPr>
        <w:t>25.</w:t>
      </w:r>
      <w:r w:rsidR="00E6158B" w:rsidRPr="0045696F">
        <w:rPr>
          <w:rFonts w:ascii="仿宋_GB2312" w:eastAsia="仿宋_GB2312"/>
          <w:sz w:val="32"/>
          <w:szCs w:val="32"/>
        </w:rPr>
        <w:t>6</w:t>
      </w:r>
      <w:r w:rsidRPr="0045696F">
        <w:rPr>
          <w:rFonts w:ascii="仿宋_GB2312" w:eastAsia="仿宋_GB2312"/>
          <w:sz w:val="32"/>
          <w:szCs w:val="32"/>
        </w:rPr>
        <w:t>平</w:t>
      </w:r>
      <w:r>
        <w:rPr>
          <w:rFonts w:ascii="仿宋_GB2312" w:eastAsia="仿宋_GB2312"/>
          <w:sz w:val="32"/>
          <w:szCs w:val="32"/>
        </w:rPr>
        <w:t>方公里，打造中欧班列中部集结中心、内陆国际铁路物流枢纽港、供应链物流综合服务平台。</w:t>
      </w:r>
    </w:p>
    <w:p w14:paraId="76B60D8B" w14:textId="2FE55C69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天河国际空港:</w:t>
      </w:r>
      <w:r>
        <w:rPr>
          <w:rFonts w:ascii="仿宋_GB2312" w:eastAsia="仿宋_GB2312" w:hint="eastAsia"/>
          <w:sz w:val="32"/>
          <w:szCs w:val="32"/>
        </w:rPr>
        <w:t>依托天河国际机场和滠口货场，由天河空港物流园、汉口北物流园、汉口北国际商贸城共同组成，</w:t>
      </w:r>
      <w:r w:rsidR="00D77BAE">
        <w:rPr>
          <w:rFonts w:ascii="仿宋_GB2312" w:eastAsia="仿宋_GB2312" w:hint="eastAsia"/>
          <w:sz w:val="32"/>
          <w:szCs w:val="32"/>
        </w:rPr>
        <w:t>远期预留武汉北编组站多式联运物流园，</w:t>
      </w:r>
      <w:r>
        <w:rPr>
          <w:rFonts w:ascii="仿宋_GB2312" w:eastAsia="仿宋_GB2312" w:hint="eastAsia"/>
          <w:sz w:val="32"/>
          <w:szCs w:val="32"/>
        </w:rPr>
        <w:t>用地面积</w:t>
      </w:r>
      <w:r w:rsidR="00D77BAE">
        <w:rPr>
          <w:rFonts w:ascii="仿宋_GB2312" w:eastAsia="仿宋_GB2312"/>
          <w:sz w:val="32"/>
          <w:szCs w:val="32"/>
        </w:rPr>
        <w:t>31.3</w:t>
      </w:r>
      <w:r>
        <w:rPr>
          <w:rFonts w:ascii="仿宋_GB2312" w:eastAsia="仿宋_GB2312"/>
          <w:sz w:val="32"/>
          <w:szCs w:val="32"/>
        </w:rPr>
        <w:t>平方公里，打造中部国际航空门户枢纽、生态智慧航空都市引领区、全国一流商贸物流平台。</w:t>
      </w:r>
    </w:p>
    <w:p w14:paraId="4132915F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花湖国际空港</w:t>
      </w:r>
      <w:r>
        <w:rPr>
          <w:rFonts w:ascii="仿宋_GB2312" w:eastAsia="仿宋_GB2312" w:hint="eastAsia"/>
          <w:sz w:val="32"/>
          <w:szCs w:val="32"/>
        </w:rPr>
        <w:t>:依托花湖机场，由航空物流产业园、临空综合物流园、航空综合保税物流园、顺丰产业园共同组成，用地面积</w:t>
      </w:r>
      <w:r>
        <w:rPr>
          <w:rFonts w:ascii="仿宋_GB2312" w:eastAsia="仿宋_GB2312"/>
          <w:sz w:val="32"/>
          <w:szCs w:val="32"/>
        </w:rPr>
        <w:t>23.9平方公里，打造全球123快货物流圈核心枢纽、中部地区高端产业供应链管理中心、中国空港枢纽新城。</w:t>
      </w:r>
    </w:p>
    <w:p w14:paraId="4BFFB75D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2</w:t>
      </w:r>
      <w:r>
        <w:rPr>
          <w:rFonts w:ascii="仿宋_GB2312" w:eastAsia="仿宋_GB2312" w:hint="eastAsia"/>
          <w:b/>
          <w:bCs/>
          <w:sz w:val="32"/>
          <w:szCs w:val="32"/>
        </w:rPr>
        <w:t>.区域物流协同发展轴</w:t>
      </w:r>
    </w:p>
    <w:p w14:paraId="2C2A3A10" w14:textId="77777777" w:rsidR="00B02D18" w:rsidRDefault="005E03B6">
      <w:pPr>
        <w:spacing w:line="580" w:lineRule="exact"/>
        <w:ind w:firstLineChars="200" w:firstLine="643"/>
        <w:contextualSpacing/>
        <w:rPr>
          <w:rFonts w:ascii="仿宋_GB2312" w:eastAsia="仿宋_GB2312" w:hAnsi="华文仿宋"/>
          <w:sz w:val="32"/>
          <w:szCs w:val="32"/>
        </w:rPr>
      </w:pPr>
      <w:r>
        <w:rPr>
          <w:rFonts w:ascii="仿宋_GB2312" w:eastAsia="仿宋_GB2312" w:hAnsi="华文仿宋" w:hint="eastAsia"/>
          <w:b/>
          <w:bCs/>
          <w:sz w:val="32"/>
          <w:szCs w:val="32"/>
        </w:rPr>
        <w:t>武鄂黄黄轴带</w:t>
      </w:r>
      <w:r>
        <w:rPr>
          <w:rFonts w:ascii="仿宋_GB2312" w:eastAsia="仿宋_GB2312" w:hAnsi="华文仿宋" w:hint="eastAsia"/>
          <w:sz w:val="32"/>
          <w:szCs w:val="32"/>
        </w:rPr>
        <w:t>依托阳逻国际港、花湖国际空港、黄石新港现代物流园、黄冈临港物流园、武汉工业港等枢纽设施，重点为智能制造、电子信息、新能源等产业链提供铁水联运、水水联运、陆空联运、保税物流、应急储备等供应链物流服务，打造港口空港物流协作区；</w:t>
      </w:r>
      <w:r>
        <w:rPr>
          <w:rFonts w:ascii="仿宋_GB2312" w:eastAsia="仿宋_GB2312" w:hAnsi="华文仿宋" w:hint="eastAsia"/>
          <w:b/>
          <w:bCs/>
          <w:sz w:val="32"/>
          <w:szCs w:val="32"/>
        </w:rPr>
        <w:t>汉孝轴带</w:t>
      </w:r>
      <w:r>
        <w:rPr>
          <w:rFonts w:ascii="仿宋_GB2312" w:eastAsia="仿宋_GB2312" w:hAnsi="华文仿宋" w:hint="eastAsia"/>
          <w:sz w:val="32"/>
          <w:szCs w:val="32"/>
        </w:rPr>
        <w:t>依托吴家山国际陆港、天河国际空港等枢纽设施，提供保税物流、电商快递、公铁联运等物流服务，重点服务高端装备、光电子信息等适铁产业，精密仪器、跨境电商等航空偏好性产业，打造陆港、空港物流协作区；</w:t>
      </w:r>
      <w:r>
        <w:rPr>
          <w:rFonts w:ascii="仿宋_GB2312" w:eastAsia="仿宋_GB2312" w:hAnsi="华文仿宋" w:hint="eastAsia"/>
          <w:b/>
          <w:bCs/>
          <w:sz w:val="32"/>
          <w:szCs w:val="32"/>
        </w:rPr>
        <w:t>武咸轴带</w:t>
      </w:r>
      <w:r>
        <w:rPr>
          <w:rFonts w:ascii="仿宋_GB2312" w:eastAsia="仿宋_GB2312" w:hAnsi="华文仿宋" w:hint="eastAsia"/>
          <w:sz w:val="32"/>
          <w:szCs w:val="32"/>
        </w:rPr>
        <w:t>依托京广铁路、武嘉高速及京港澳高速等交通设施，为生物医药、生鲜农产品、智能制造等产业提供冷链物流、公铁联运、中转分拨等物流服务，打造</w:t>
      </w:r>
      <w:r>
        <w:rPr>
          <w:rFonts w:ascii="仿宋_GB2312" w:eastAsia="仿宋_GB2312" w:hAnsi="华文仿宋" w:hint="eastAsia"/>
          <w:sz w:val="32"/>
          <w:szCs w:val="32"/>
        </w:rPr>
        <w:lastRenderedPageBreak/>
        <w:t>城市圈冷链物流协作区；</w:t>
      </w:r>
      <w:r>
        <w:rPr>
          <w:rFonts w:ascii="仿宋_GB2312" w:eastAsia="仿宋_GB2312" w:hAnsi="华文仿宋" w:hint="eastAsia"/>
          <w:b/>
          <w:bCs/>
          <w:sz w:val="32"/>
          <w:szCs w:val="32"/>
        </w:rPr>
        <w:t>武仙轴带</w:t>
      </w:r>
      <w:r>
        <w:rPr>
          <w:rFonts w:ascii="仿宋_GB2312" w:eastAsia="仿宋_GB2312" w:hAnsi="华文仿宋" w:hint="eastAsia"/>
          <w:sz w:val="32"/>
          <w:szCs w:val="32"/>
        </w:rPr>
        <w:t>依托汉南通用机场、长江汉江、沪渝高速等交通设施，重点服务新能源新材料、装备制造、医疗纺织等产业，提供水水中转、仓储配送等物流服务，强化区域性应急储备，探索构建低空物流试验区。</w:t>
      </w:r>
    </w:p>
    <w:p w14:paraId="6B023208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3</w:t>
      </w:r>
      <w:r>
        <w:rPr>
          <w:rFonts w:ascii="仿宋_GB2312" w:eastAsia="仿宋_GB2312"/>
          <w:b/>
          <w:bCs/>
          <w:sz w:val="32"/>
          <w:szCs w:val="32"/>
        </w:rPr>
        <w:t>.</w:t>
      </w:r>
      <w:r>
        <w:rPr>
          <w:rFonts w:ascii="仿宋_GB2312" w:eastAsia="仿宋_GB2312" w:hint="eastAsia"/>
          <w:b/>
          <w:bCs/>
          <w:sz w:val="32"/>
          <w:szCs w:val="32"/>
        </w:rPr>
        <w:t>物流集群</w:t>
      </w:r>
    </w:p>
    <w:p w14:paraId="4E463BEA" w14:textId="0D16F7CC" w:rsidR="00B02D18" w:rsidRDefault="005E03B6">
      <w:pPr>
        <w:spacing w:line="580" w:lineRule="exact"/>
        <w:ind w:firstLineChars="200" w:firstLine="643"/>
        <w:contextualSpacing/>
        <w:rPr>
          <w:rFonts w:ascii="仿宋_GB2312" w:eastAsia="仿宋_GB2312" w:hAnsi="华文仿宋"/>
          <w:sz w:val="32"/>
          <w:szCs w:val="32"/>
        </w:rPr>
      </w:pPr>
      <w:r>
        <w:rPr>
          <w:rFonts w:ascii="仿宋_GB2312" w:eastAsia="仿宋_GB2312" w:hAnsi="华文仿宋" w:hint="eastAsia"/>
          <w:b/>
          <w:bCs/>
          <w:sz w:val="32"/>
          <w:szCs w:val="32"/>
        </w:rPr>
        <w:t>光谷物流集群：</w:t>
      </w:r>
      <w:r>
        <w:rPr>
          <w:rFonts w:ascii="仿宋_GB2312" w:eastAsia="仿宋_GB2312" w:hAnsi="华文仿宋" w:hint="eastAsia"/>
          <w:sz w:val="32"/>
          <w:szCs w:val="32"/>
        </w:rPr>
        <w:t>包括东湖综保物流园、花山港物流园、大花山物流园、葛店华中物流园等4个园区，面向“光芯屏端网”、生物医药等高附加值新兴产业，提供保税物流、跨境电商、仓储分拨等物流服务。</w:t>
      </w:r>
    </w:p>
    <w:p w14:paraId="77756622" w14:textId="6AF7E69A" w:rsidR="00B02D18" w:rsidRDefault="005E03B6">
      <w:pPr>
        <w:spacing w:line="580" w:lineRule="exact"/>
        <w:ind w:firstLineChars="200" w:firstLine="643"/>
        <w:contextualSpacing/>
        <w:rPr>
          <w:rFonts w:ascii="仿宋_GB2312" w:eastAsia="仿宋_GB2312" w:hAnsi="华文仿宋"/>
          <w:sz w:val="32"/>
          <w:szCs w:val="32"/>
        </w:rPr>
      </w:pPr>
      <w:r>
        <w:rPr>
          <w:rFonts w:ascii="仿宋_GB2312" w:eastAsia="仿宋_GB2312" w:hAnsi="华文仿宋" w:hint="eastAsia"/>
          <w:b/>
          <w:bCs/>
          <w:sz w:val="32"/>
          <w:szCs w:val="32"/>
        </w:rPr>
        <w:t>车谷物流集群</w:t>
      </w:r>
      <w:r>
        <w:rPr>
          <w:rFonts w:ascii="仿宋_GB2312" w:eastAsia="仿宋_GB2312" w:hAnsi="华文仿宋" w:hint="eastAsia"/>
          <w:sz w:val="32"/>
          <w:szCs w:val="32"/>
        </w:rPr>
        <w:t>：包括邓南港口物流园、纱帽物流园、常福物流园、蔡甸通航物流园等4个园区，面向智能网联汽车及零部件、新能源、通用航空等高新产业，提供港口物流、仓储分拨、城市配送等物流服务。</w:t>
      </w:r>
    </w:p>
    <w:p w14:paraId="6DDC164B" w14:textId="435689F2" w:rsidR="00B02D18" w:rsidRDefault="005E03B6">
      <w:pPr>
        <w:spacing w:line="580" w:lineRule="exact"/>
        <w:ind w:firstLineChars="200" w:firstLine="643"/>
        <w:contextualSpacing/>
        <w:rPr>
          <w:rFonts w:ascii="仿宋_GB2312" w:eastAsia="仿宋_GB2312" w:hAnsi="华文仿宋"/>
          <w:sz w:val="32"/>
          <w:szCs w:val="32"/>
        </w:rPr>
      </w:pPr>
      <w:r>
        <w:rPr>
          <w:rFonts w:ascii="仿宋_GB2312" w:eastAsia="仿宋_GB2312" w:hAnsi="华文仿宋" w:hint="eastAsia"/>
          <w:b/>
          <w:bCs/>
          <w:sz w:val="32"/>
          <w:szCs w:val="32"/>
        </w:rPr>
        <w:t>南部物流集群</w:t>
      </w:r>
      <w:r>
        <w:rPr>
          <w:rFonts w:ascii="仿宋_GB2312" w:eastAsia="仿宋_GB2312" w:hAnsi="华文仿宋" w:hint="eastAsia"/>
          <w:sz w:val="32"/>
          <w:szCs w:val="32"/>
        </w:rPr>
        <w:t>：包括大花岭货场、郑店物流园、金口物流园、山坡物流园等4个园区，面向生物医药、特色农产品等产业，提供冷链物流、铁水联运、仓储配送等物流服务。</w:t>
      </w:r>
    </w:p>
    <w:p w14:paraId="2F502379" w14:textId="77777777" w:rsidR="00B02D18" w:rsidRDefault="005E03B6">
      <w:pPr>
        <w:adjustRightInd w:val="0"/>
        <w:snapToGrid w:val="0"/>
        <w:spacing w:line="560" w:lineRule="exact"/>
        <w:ind w:firstLineChars="200" w:firstLine="643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t>4.</w:t>
      </w:r>
      <w:r>
        <w:rPr>
          <w:rFonts w:ascii="仿宋_GB2312" w:eastAsia="仿宋_GB2312" w:hint="eastAsia"/>
          <w:b/>
          <w:bCs/>
          <w:sz w:val="32"/>
          <w:szCs w:val="32"/>
        </w:rPr>
        <w:t>物流中心</w:t>
      </w:r>
    </w:p>
    <w:p w14:paraId="306DA5E9" w14:textId="77777777" w:rsidR="00B02D18" w:rsidRDefault="005E03B6">
      <w:pPr>
        <w:adjustRightInd w:val="0"/>
        <w:snapToGrid w:val="0"/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为满足市域日常生活生产物流配送需求，规划在四环线周边</w:t>
      </w:r>
      <w:r>
        <w:rPr>
          <w:rFonts w:ascii="仿宋_GB2312" w:eastAsia="仿宋_GB2312"/>
          <w:sz w:val="32"/>
          <w:szCs w:val="32"/>
        </w:rPr>
        <w:t>形成城市配送环</w:t>
      </w:r>
      <w:r>
        <w:rPr>
          <w:rFonts w:ascii="仿宋_GB2312" w:eastAsia="仿宋_GB2312" w:hint="eastAsia"/>
          <w:sz w:val="32"/>
          <w:szCs w:val="32"/>
        </w:rPr>
        <w:t>，布局慈惠、汉口北、天河、阳逻、邾城、青山、北湖、光谷南、大花岭、青菱、郭徐岭、纱帽等</w:t>
      </w:r>
      <w:r>
        <w:rPr>
          <w:rFonts w:ascii="仿宋_GB2312" w:eastAsia="仿宋_GB2312"/>
          <w:sz w:val="32"/>
          <w:szCs w:val="32"/>
        </w:rPr>
        <w:t>12个物流中心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7982A406" w14:textId="77777777" w:rsidR="00B02D18" w:rsidRDefault="005E03B6">
      <w:pPr>
        <w:adjustRightInd w:val="0"/>
        <w:snapToGrid w:val="0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lastRenderedPageBreak/>
        <w:drawing>
          <wp:inline distT="0" distB="0" distL="0" distR="0" wp14:anchorId="23DB65DB" wp14:editId="32DF36C9">
            <wp:extent cx="5306060" cy="7517130"/>
            <wp:effectExtent l="0" t="0" r="0" b="0"/>
            <wp:docPr id="3" name="图片 3" descr="D:\HQ\2021\02武汉市现代物流空间布局规划(2021-2035)\11成果文件\物流-成果图\02-规划结构图-公示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HQ\2021\02武汉市现代物流空间布局规划(2021-2035)\11成果文件\物流-成果图\02-规划结构图-公示版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602" cy="63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D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5E236" w14:textId="77777777" w:rsidR="00705D96" w:rsidRDefault="00705D96" w:rsidP="003A4E02">
      <w:r>
        <w:separator/>
      </w:r>
    </w:p>
  </w:endnote>
  <w:endnote w:type="continuationSeparator" w:id="0">
    <w:p w14:paraId="1594086C" w14:textId="77777777" w:rsidR="00705D96" w:rsidRDefault="00705D96" w:rsidP="003A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Malgun Gothic Semilight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E14C0" w14:textId="77777777" w:rsidR="00705D96" w:rsidRDefault="00705D96" w:rsidP="003A4E02">
      <w:r>
        <w:separator/>
      </w:r>
    </w:p>
  </w:footnote>
  <w:footnote w:type="continuationSeparator" w:id="0">
    <w:p w14:paraId="00507EAF" w14:textId="77777777" w:rsidR="00705D96" w:rsidRDefault="00705D96" w:rsidP="003A4E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gyNzRhYWMwNTAxZTBlZWEyNjNlZGVlZDMzZmMwMjEifQ=="/>
  </w:docVars>
  <w:rsids>
    <w:rsidRoot w:val="00F53347"/>
    <w:rsid w:val="000022F5"/>
    <w:rsid w:val="00053C44"/>
    <w:rsid w:val="00056ADB"/>
    <w:rsid w:val="00073292"/>
    <w:rsid w:val="00074E32"/>
    <w:rsid w:val="00075955"/>
    <w:rsid w:val="000C3210"/>
    <w:rsid w:val="000D79AA"/>
    <w:rsid w:val="001003F9"/>
    <w:rsid w:val="0014096B"/>
    <w:rsid w:val="00142F83"/>
    <w:rsid w:val="001A127B"/>
    <w:rsid w:val="001B1C80"/>
    <w:rsid w:val="00206218"/>
    <w:rsid w:val="0022046F"/>
    <w:rsid w:val="00296372"/>
    <w:rsid w:val="002E6F6A"/>
    <w:rsid w:val="002F2D08"/>
    <w:rsid w:val="00311741"/>
    <w:rsid w:val="00340023"/>
    <w:rsid w:val="00343DF1"/>
    <w:rsid w:val="0035012B"/>
    <w:rsid w:val="00396C2A"/>
    <w:rsid w:val="003A4E02"/>
    <w:rsid w:val="003C3494"/>
    <w:rsid w:val="003D39FE"/>
    <w:rsid w:val="004311AC"/>
    <w:rsid w:val="0044526C"/>
    <w:rsid w:val="0045696F"/>
    <w:rsid w:val="004631A9"/>
    <w:rsid w:val="004D14DC"/>
    <w:rsid w:val="004D7F6C"/>
    <w:rsid w:val="00550B35"/>
    <w:rsid w:val="005A4715"/>
    <w:rsid w:val="005B419E"/>
    <w:rsid w:val="005C4D19"/>
    <w:rsid w:val="005D1EB8"/>
    <w:rsid w:val="005E03B6"/>
    <w:rsid w:val="005F0EDB"/>
    <w:rsid w:val="005F35B0"/>
    <w:rsid w:val="005F3E01"/>
    <w:rsid w:val="006223EA"/>
    <w:rsid w:val="00626B6B"/>
    <w:rsid w:val="006310CE"/>
    <w:rsid w:val="00677301"/>
    <w:rsid w:val="00680EF5"/>
    <w:rsid w:val="006A2BCB"/>
    <w:rsid w:val="006B08AE"/>
    <w:rsid w:val="006D7D1D"/>
    <w:rsid w:val="006E32F7"/>
    <w:rsid w:val="00705D96"/>
    <w:rsid w:val="00706B52"/>
    <w:rsid w:val="0071466C"/>
    <w:rsid w:val="00752D29"/>
    <w:rsid w:val="00776568"/>
    <w:rsid w:val="00780B77"/>
    <w:rsid w:val="007B0198"/>
    <w:rsid w:val="007F55FF"/>
    <w:rsid w:val="00850ADF"/>
    <w:rsid w:val="00862150"/>
    <w:rsid w:val="008951B3"/>
    <w:rsid w:val="008A3B9E"/>
    <w:rsid w:val="00953C11"/>
    <w:rsid w:val="009D1C71"/>
    <w:rsid w:val="00A37B80"/>
    <w:rsid w:val="00A56869"/>
    <w:rsid w:val="00AB0105"/>
    <w:rsid w:val="00AB6E3A"/>
    <w:rsid w:val="00AD2336"/>
    <w:rsid w:val="00AD4084"/>
    <w:rsid w:val="00B02D18"/>
    <w:rsid w:val="00C27136"/>
    <w:rsid w:val="00C52607"/>
    <w:rsid w:val="00C5676B"/>
    <w:rsid w:val="00C57E2F"/>
    <w:rsid w:val="00C61D5B"/>
    <w:rsid w:val="00C848FA"/>
    <w:rsid w:val="00C87271"/>
    <w:rsid w:val="00C9084F"/>
    <w:rsid w:val="00C963CA"/>
    <w:rsid w:val="00C97BDE"/>
    <w:rsid w:val="00CA6072"/>
    <w:rsid w:val="00CD3968"/>
    <w:rsid w:val="00CE6FD0"/>
    <w:rsid w:val="00D15D5F"/>
    <w:rsid w:val="00D23B86"/>
    <w:rsid w:val="00D404A9"/>
    <w:rsid w:val="00D72A7E"/>
    <w:rsid w:val="00D77BAE"/>
    <w:rsid w:val="00DA0FC3"/>
    <w:rsid w:val="00DA3811"/>
    <w:rsid w:val="00E11351"/>
    <w:rsid w:val="00E6158B"/>
    <w:rsid w:val="00E75BAB"/>
    <w:rsid w:val="00E90173"/>
    <w:rsid w:val="00EB64B7"/>
    <w:rsid w:val="00EB67C6"/>
    <w:rsid w:val="00ED1A9E"/>
    <w:rsid w:val="00EF13B0"/>
    <w:rsid w:val="00EF492E"/>
    <w:rsid w:val="00EF502F"/>
    <w:rsid w:val="00F058EE"/>
    <w:rsid w:val="00F46056"/>
    <w:rsid w:val="00F53347"/>
    <w:rsid w:val="00F73D8F"/>
    <w:rsid w:val="00F947B0"/>
    <w:rsid w:val="00FF62B9"/>
    <w:rsid w:val="06BA153D"/>
    <w:rsid w:val="098F61D9"/>
    <w:rsid w:val="39840E05"/>
    <w:rsid w:val="65D35B3C"/>
    <w:rsid w:val="75EF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DA55EF"/>
  <w15:docId w15:val="{95450546-5ABB-43C0-B12F-0FBF1A05B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微软雅黑" w:eastAsia="微软雅黑" w:cs="微软雅黑"/>
      <w:color w:val="00000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正文1"/>
    <w:link w:val="1Char"/>
    <w:qFormat/>
    <w:pPr>
      <w:spacing w:line="360" w:lineRule="auto"/>
      <w:ind w:firstLineChars="200" w:firstLine="600"/>
    </w:pPr>
    <w:rPr>
      <w:rFonts w:ascii="Times New Roman" w:eastAsia="宋体" w:hAnsi="Times New Roman" w:cs="Times New Roman"/>
      <w:kern w:val="2"/>
      <w:sz w:val="24"/>
    </w:rPr>
  </w:style>
  <w:style w:type="character" w:customStyle="1" w:styleId="1Char">
    <w:name w:val="正文1 Char"/>
    <w:link w:val="1"/>
    <w:rPr>
      <w:rFonts w:ascii="Times New Roman" w:eastAsia="宋体" w:hAnsi="Times New Roman" w:cs="Times New Roman"/>
      <w:kern w:val="2"/>
      <w:sz w:val="24"/>
    </w:rPr>
  </w:style>
  <w:style w:type="paragraph" w:styleId="aa">
    <w:name w:val="List Paragraph"/>
    <w:basedOn w:val="a"/>
    <w:uiPriority w:val="99"/>
    <w:pPr>
      <w:ind w:firstLineChars="200" w:firstLine="420"/>
    </w:pPr>
  </w:style>
  <w:style w:type="paragraph" w:styleId="ab">
    <w:name w:val="Revision"/>
    <w:hidden/>
    <w:uiPriority w:val="99"/>
    <w:semiHidden/>
    <w:rsid w:val="005E03B6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47092-675A-47A1-986F-E9AF76818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384</Words>
  <Characters>2194</Characters>
  <Application>Microsoft Office Word</Application>
  <DocSecurity>0</DocSecurity>
  <Lines>18</Lines>
  <Paragraphs>5</Paragraphs>
  <ScaleCrop>false</ScaleCrop>
  <Company>Microsoft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3</cp:revision>
  <cp:lastPrinted>2021-12-07T03:13:00Z</cp:lastPrinted>
  <dcterms:created xsi:type="dcterms:W3CDTF">2022-05-20T02:05:00Z</dcterms:created>
  <dcterms:modified xsi:type="dcterms:W3CDTF">2022-05-20T02:06:00Z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CE7B82D8B61E4DFEA90F306C966E78A6</vt:lpwstr>
  </property>
</Properties>
</file>