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9"/>
        <w:tblW w:w="11013" w:type="dxa"/>
        <w:tblInd w:w="-14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4933"/>
        <w:gridCol w:w="425"/>
        <w:gridCol w:w="993"/>
        <w:gridCol w:w="2835"/>
      </w:tblGrid>
      <w:tr w14:paraId="65D1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827" w:type="dxa"/>
            <w:vMerge w:val="restart"/>
            <w:tcBorders>
              <w:top w:val="nil"/>
              <w:left w:val="nil"/>
              <w:bottom w:val="nil"/>
              <w:right w:val="nil"/>
            </w:tcBorders>
            <w:shd w:val="clear" w:color="auto" w:fill="auto"/>
          </w:tcPr>
          <w:p w14:paraId="1DDFBF22">
            <w:pPr>
              <w:ind w:left="281" w:right="281"/>
              <w:rPr>
                <w:rFonts w:ascii="Calibri" w:hAnsi="Calibri"/>
                <w:szCs w:val="22"/>
              </w:rPr>
            </w:pPr>
            <w:r>
              <w:rPr>
                <w:rFonts w:ascii="Calibri" w:hAnsi="Calibri"/>
              </w:rPr>
              <w:drawing>
                <wp:anchor distT="0" distB="0" distL="114300" distR="114300" simplePos="0" relativeHeight="251659264" behindDoc="1" locked="0" layoutInCell="1" allowOverlap="1">
                  <wp:simplePos x="0" y="0"/>
                  <wp:positionH relativeFrom="column">
                    <wp:posOffset>99060</wp:posOffset>
                  </wp:positionH>
                  <wp:positionV relativeFrom="paragraph">
                    <wp:posOffset>1905</wp:posOffset>
                  </wp:positionV>
                  <wp:extent cx="897890" cy="795020"/>
                  <wp:effectExtent l="0" t="0" r="0" b="5080"/>
                  <wp:wrapSquare wrapText="bothSides"/>
                  <wp:docPr id="4" name="图片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897890" cy="795020"/>
                          </a:xfrm>
                          <a:prstGeom prst="rect">
                            <a:avLst/>
                          </a:prstGeom>
                          <a:noFill/>
                          <a:ln>
                            <a:noFill/>
                          </a:ln>
                        </pic:spPr>
                      </pic:pic>
                    </a:graphicData>
                  </a:graphic>
                </wp:anchor>
              </w:drawing>
            </w:r>
            <w:r>
              <w:rPr>
                <w:rFonts w:hint="eastAsia" w:ascii="Calibri" w:hAnsi="Calibri"/>
                <w:szCs w:val="22"/>
              </w:rPr>
              <w:t xml:space="preserve"> </w:t>
            </w:r>
          </w:p>
        </w:tc>
        <w:tc>
          <w:tcPr>
            <w:tcW w:w="4933" w:type="dxa"/>
            <w:vMerge w:val="restart"/>
            <w:tcBorders>
              <w:top w:val="nil"/>
              <w:left w:val="nil"/>
              <w:bottom w:val="nil"/>
              <w:right w:val="nil"/>
            </w:tcBorders>
            <w:shd w:val="clear" w:color="auto" w:fill="auto"/>
          </w:tcPr>
          <w:p w14:paraId="2935DB06">
            <w:pPr>
              <w:ind w:left="281" w:right="281"/>
              <w:jc w:val="left"/>
              <w:rPr>
                <w:rFonts w:ascii="Calibri" w:hAnsi="Calibri"/>
                <w:szCs w:val="22"/>
              </w:rPr>
            </w:pPr>
          </w:p>
          <w:p w14:paraId="4B29C313">
            <w:pPr>
              <w:ind w:left="5" w:right="92"/>
              <w:jc w:val="distribute"/>
              <w:rPr>
                <w:rFonts w:ascii="宋体" w:hAnsi="宋体"/>
                <w:sz w:val="32"/>
                <w:szCs w:val="32"/>
              </w:rPr>
            </w:pPr>
            <w:r>
              <w:rPr>
                <w:rFonts w:hint="eastAsia" w:ascii="宋体" w:hAnsi="宋体"/>
                <w:sz w:val="32"/>
                <w:szCs w:val="32"/>
              </w:rPr>
              <w:t>天圆全会计师事务所</w:t>
            </w:r>
          </w:p>
        </w:tc>
        <w:tc>
          <w:tcPr>
            <w:tcW w:w="425" w:type="dxa"/>
            <w:vMerge w:val="restart"/>
            <w:tcBorders>
              <w:top w:val="nil"/>
              <w:left w:val="nil"/>
              <w:bottom w:val="nil"/>
              <w:right w:val="nil"/>
            </w:tcBorders>
            <w:shd w:val="clear" w:color="auto" w:fill="auto"/>
          </w:tcPr>
          <w:p w14:paraId="63183CC5">
            <w:pPr>
              <w:ind w:left="-250" w:leftChars="-119"/>
            </w:pPr>
          </w:p>
        </w:tc>
        <w:tc>
          <w:tcPr>
            <w:tcW w:w="3828" w:type="dxa"/>
            <w:gridSpan w:val="2"/>
            <w:tcBorders>
              <w:top w:val="nil"/>
              <w:left w:val="nil"/>
              <w:bottom w:val="single" w:color="auto" w:sz="4" w:space="0"/>
              <w:right w:val="nil"/>
            </w:tcBorders>
            <w:shd w:val="clear" w:color="auto" w:fill="auto"/>
          </w:tcPr>
          <w:p w14:paraId="4813C784">
            <w:pPr>
              <w:spacing w:line="0" w:lineRule="atLeast"/>
              <w:jc w:val="left"/>
              <w:rPr>
                <w:sz w:val="18"/>
                <w:szCs w:val="18"/>
              </w:rPr>
            </w:pPr>
            <w:r>
              <w:rPr>
                <w:rFonts w:hint="eastAsia"/>
                <w:sz w:val="18"/>
                <w:szCs w:val="18"/>
              </w:rPr>
              <w:t>北京市海淀区中关村南大街乙56号</w:t>
            </w:r>
          </w:p>
          <w:p w14:paraId="015C85BF">
            <w:pPr>
              <w:spacing w:line="0" w:lineRule="atLeast"/>
              <w:jc w:val="left"/>
              <w:rPr>
                <w:sz w:val="15"/>
                <w:szCs w:val="15"/>
              </w:rPr>
            </w:pPr>
            <w:r>
              <w:rPr>
                <w:rFonts w:hint="eastAsia"/>
                <w:sz w:val="18"/>
                <w:szCs w:val="18"/>
              </w:rPr>
              <w:t>方圆大厦15层</w:t>
            </w:r>
          </w:p>
        </w:tc>
      </w:tr>
      <w:tr w14:paraId="0C546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827" w:type="dxa"/>
            <w:vMerge w:val="continue"/>
            <w:tcBorders>
              <w:top w:val="nil"/>
              <w:left w:val="nil"/>
              <w:bottom w:val="nil"/>
              <w:right w:val="nil"/>
            </w:tcBorders>
            <w:shd w:val="clear" w:color="auto" w:fill="auto"/>
          </w:tcPr>
          <w:p w14:paraId="19EB4176">
            <w:pPr>
              <w:ind w:left="281" w:right="281"/>
              <w:rPr>
                <w:rFonts w:ascii="Calibri" w:hAnsi="Calibri"/>
                <w:szCs w:val="22"/>
              </w:rPr>
            </w:pPr>
          </w:p>
        </w:tc>
        <w:tc>
          <w:tcPr>
            <w:tcW w:w="4933" w:type="dxa"/>
            <w:vMerge w:val="continue"/>
            <w:tcBorders>
              <w:top w:val="nil"/>
              <w:left w:val="nil"/>
              <w:bottom w:val="nil"/>
              <w:right w:val="nil"/>
            </w:tcBorders>
            <w:shd w:val="clear" w:color="auto" w:fill="auto"/>
          </w:tcPr>
          <w:p w14:paraId="24288D02">
            <w:pPr>
              <w:ind w:left="281" w:right="281"/>
              <w:jc w:val="left"/>
              <w:rPr>
                <w:rFonts w:ascii="Calibri" w:hAnsi="Calibri"/>
                <w:szCs w:val="22"/>
              </w:rPr>
            </w:pPr>
          </w:p>
        </w:tc>
        <w:tc>
          <w:tcPr>
            <w:tcW w:w="425" w:type="dxa"/>
            <w:vMerge w:val="continue"/>
            <w:tcBorders>
              <w:top w:val="nil"/>
              <w:left w:val="nil"/>
              <w:bottom w:val="nil"/>
              <w:right w:val="nil"/>
            </w:tcBorders>
            <w:shd w:val="clear" w:color="auto" w:fill="auto"/>
          </w:tcPr>
          <w:p w14:paraId="057AD338">
            <w:pPr>
              <w:ind w:left="281" w:right="281"/>
              <w:rPr>
                <w:rFonts w:ascii="Calibri" w:hAnsi="Calibri"/>
                <w:szCs w:val="22"/>
              </w:rPr>
            </w:pPr>
          </w:p>
        </w:tc>
        <w:tc>
          <w:tcPr>
            <w:tcW w:w="3828" w:type="dxa"/>
            <w:gridSpan w:val="2"/>
            <w:tcBorders>
              <w:top w:val="single" w:color="auto" w:sz="4" w:space="0"/>
              <w:left w:val="nil"/>
              <w:bottom w:val="single" w:color="auto" w:sz="4" w:space="0"/>
              <w:right w:val="nil"/>
            </w:tcBorders>
            <w:shd w:val="clear" w:color="auto" w:fill="auto"/>
          </w:tcPr>
          <w:p w14:paraId="6BBA735E">
            <w:pPr>
              <w:spacing w:line="0" w:lineRule="atLeast"/>
              <w:jc w:val="left"/>
              <w:rPr>
                <w:sz w:val="15"/>
                <w:szCs w:val="15"/>
              </w:rPr>
            </w:pPr>
            <w:r>
              <w:rPr>
                <w:rFonts w:hint="eastAsia"/>
                <w:sz w:val="15"/>
                <w:szCs w:val="15"/>
              </w:rPr>
              <w:t>15/ F, Fangyuan Building，B56,Zhongguancunstreet，</w:t>
            </w:r>
          </w:p>
          <w:p w14:paraId="3BA31762">
            <w:pPr>
              <w:spacing w:line="0" w:lineRule="atLeast"/>
              <w:ind w:right="281"/>
              <w:jc w:val="left"/>
              <w:rPr>
                <w:rFonts w:ascii="Calibri" w:hAnsi="Calibri"/>
                <w:sz w:val="18"/>
                <w:szCs w:val="18"/>
              </w:rPr>
            </w:pPr>
            <w:r>
              <w:rPr>
                <w:rFonts w:hint="eastAsia"/>
                <w:sz w:val="15"/>
                <w:szCs w:val="15"/>
              </w:rPr>
              <w:t>Haidian District，Beijing，China</w:t>
            </w:r>
          </w:p>
        </w:tc>
      </w:tr>
      <w:tr w14:paraId="3357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827" w:type="dxa"/>
            <w:vMerge w:val="continue"/>
            <w:tcBorders>
              <w:top w:val="nil"/>
              <w:left w:val="nil"/>
              <w:bottom w:val="nil"/>
              <w:right w:val="nil"/>
            </w:tcBorders>
            <w:shd w:val="clear" w:color="auto" w:fill="auto"/>
          </w:tcPr>
          <w:p w14:paraId="2C61818F">
            <w:pPr>
              <w:ind w:left="281" w:right="281"/>
              <w:rPr>
                <w:rFonts w:ascii="Calibri" w:hAnsi="Calibri"/>
                <w:szCs w:val="22"/>
              </w:rPr>
            </w:pPr>
          </w:p>
        </w:tc>
        <w:tc>
          <w:tcPr>
            <w:tcW w:w="4933" w:type="dxa"/>
            <w:vMerge w:val="restart"/>
            <w:tcBorders>
              <w:top w:val="nil"/>
              <w:left w:val="nil"/>
              <w:bottom w:val="nil"/>
              <w:right w:val="nil"/>
            </w:tcBorders>
            <w:shd w:val="clear" w:color="auto" w:fill="auto"/>
          </w:tcPr>
          <w:p w14:paraId="358CCAE4">
            <w:pPr>
              <w:ind w:right="90" w:rightChars="43" w:firstLine="180" w:firstLineChars="100"/>
              <w:rPr>
                <w:rFonts w:ascii="Calibri" w:hAnsi="Calibri"/>
                <w:sz w:val="18"/>
                <w:szCs w:val="18"/>
              </w:rPr>
            </w:pPr>
            <w:r>
              <w:rPr>
                <w:rFonts w:hint="eastAsia" w:ascii="Calibri" w:hAnsi="Calibri"/>
                <w:sz w:val="18"/>
                <w:szCs w:val="18"/>
              </w:rPr>
              <w:t>TIANYUANQUAN CERTIFIED PUBLIC ACCOUNTANTS LLP</w:t>
            </w:r>
          </w:p>
        </w:tc>
        <w:tc>
          <w:tcPr>
            <w:tcW w:w="425" w:type="dxa"/>
            <w:vMerge w:val="continue"/>
            <w:tcBorders>
              <w:top w:val="nil"/>
              <w:left w:val="nil"/>
              <w:bottom w:val="nil"/>
              <w:right w:val="nil"/>
            </w:tcBorders>
            <w:shd w:val="clear" w:color="auto" w:fill="auto"/>
          </w:tcPr>
          <w:p w14:paraId="70F18C82">
            <w:pPr>
              <w:ind w:left="281" w:right="281"/>
              <w:rPr>
                <w:rFonts w:ascii="Calibri" w:hAnsi="Calibri"/>
                <w:szCs w:val="22"/>
              </w:rPr>
            </w:pPr>
          </w:p>
        </w:tc>
        <w:tc>
          <w:tcPr>
            <w:tcW w:w="993" w:type="dxa"/>
            <w:tcBorders>
              <w:top w:val="single" w:color="auto" w:sz="4" w:space="0"/>
              <w:left w:val="nil"/>
              <w:bottom w:val="single" w:color="auto" w:sz="4" w:space="0"/>
              <w:right w:val="nil"/>
            </w:tcBorders>
            <w:shd w:val="clear" w:color="auto" w:fill="auto"/>
          </w:tcPr>
          <w:p w14:paraId="429EA66E">
            <w:pPr>
              <w:jc w:val="left"/>
              <w:rPr>
                <w:rFonts w:ascii="Calibri" w:hAnsi="Calibri"/>
                <w:sz w:val="15"/>
                <w:szCs w:val="15"/>
              </w:rPr>
            </w:pPr>
            <w:r>
              <w:rPr>
                <w:rFonts w:hint="eastAsia"/>
                <w:sz w:val="15"/>
                <w:szCs w:val="15"/>
              </w:rPr>
              <w:t xml:space="preserve">电话（Tel）:  </w:t>
            </w:r>
          </w:p>
        </w:tc>
        <w:tc>
          <w:tcPr>
            <w:tcW w:w="2835" w:type="dxa"/>
            <w:tcBorders>
              <w:top w:val="single" w:color="auto" w:sz="4" w:space="0"/>
              <w:left w:val="nil"/>
              <w:bottom w:val="single" w:color="auto" w:sz="4" w:space="0"/>
              <w:right w:val="nil"/>
            </w:tcBorders>
            <w:shd w:val="clear" w:color="auto" w:fill="auto"/>
          </w:tcPr>
          <w:p w14:paraId="42D33B9B">
            <w:pPr>
              <w:jc w:val="left"/>
              <w:rPr>
                <w:sz w:val="15"/>
                <w:szCs w:val="15"/>
              </w:rPr>
            </w:pPr>
            <w:r>
              <w:rPr>
                <w:rFonts w:hint="eastAsia"/>
                <w:sz w:val="15"/>
                <w:szCs w:val="15"/>
              </w:rPr>
              <w:t>(8610)83914188</w:t>
            </w:r>
          </w:p>
        </w:tc>
      </w:tr>
      <w:tr w14:paraId="3CA32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827" w:type="dxa"/>
            <w:vMerge w:val="continue"/>
            <w:tcBorders>
              <w:top w:val="nil"/>
              <w:left w:val="nil"/>
              <w:bottom w:val="nil"/>
              <w:right w:val="nil"/>
            </w:tcBorders>
            <w:shd w:val="clear" w:color="auto" w:fill="auto"/>
          </w:tcPr>
          <w:p w14:paraId="3AC7BC10">
            <w:pPr>
              <w:ind w:left="281" w:right="281"/>
              <w:rPr>
                <w:rFonts w:ascii="Calibri" w:hAnsi="Calibri"/>
                <w:szCs w:val="22"/>
              </w:rPr>
            </w:pPr>
          </w:p>
        </w:tc>
        <w:tc>
          <w:tcPr>
            <w:tcW w:w="4933" w:type="dxa"/>
            <w:vMerge w:val="continue"/>
            <w:tcBorders>
              <w:top w:val="nil"/>
              <w:left w:val="nil"/>
              <w:bottom w:val="nil"/>
              <w:right w:val="nil"/>
            </w:tcBorders>
            <w:shd w:val="clear" w:color="auto" w:fill="auto"/>
          </w:tcPr>
          <w:p w14:paraId="7F42911C">
            <w:pPr>
              <w:ind w:left="281" w:right="281"/>
              <w:jc w:val="center"/>
              <w:rPr>
                <w:rFonts w:ascii="Calibri" w:hAnsi="Calibri"/>
                <w:sz w:val="18"/>
                <w:szCs w:val="18"/>
              </w:rPr>
            </w:pPr>
          </w:p>
        </w:tc>
        <w:tc>
          <w:tcPr>
            <w:tcW w:w="425" w:type="dxa"/>
            <w:vMerge w:val="continue"/>
            <w:tcBorders>
              <w:top w:val="nil"/>
              <w:left w:val="nil"/>
              <w:bottom w:val="nil"/>
              <w:right w:val="nil"/>
            </w:tcBorders>
            <w:shd w:val="clear" w:color="auto" w:fill="auto"/>
          </w:tcPr>
          <w:p w14:paraId="12B84589">
            <w:pPr>
              <w:ind w:left="281" w:right="281"/>
              <w:rPr>
                <w:rFonts w:ascii="Calibri" w:hAnsi="Calibri"/>
                <w:szCs w:val="22"/>
              </w:rPr>
            </w:pPr>
          </w:p>
        </w:tc>
        <w:tc>
          <w:tcPr>
            <w:tcW w:w="993" w:type="dxa"/>
            <w:tcBorders>
              <w:top w:val="single" w:color="auto" w:sz="4" w:space="0"/>
              <w:left w:val="nil"/>
              <w:bottom w:val="single" w:color="auto" w:sz="4" w:space="0"/>
              <w:right w:val="nil"/>
            </w:tcBorders>
            <w:shd w:val="clear" w:color="auto" w:fill="auto"/>
          </w:tcPr>
          <w:p w14:paraId="70B171C7">
            <w:pPr>
              <w:jc w:val="left"/>
              <w:rPr>
                <w:rFonts w:ascii="Calibri" w:hAnsi="Calibri"/>
                <w:sz w:val="15"/>
                <w:szCs w:val="15"/>
              </w:rPr>
            </w:pPr>
            <w:r>
              <w:rPr>
                <w:rFonts w:hint="eastAsia"/>
                <w:sz w:val="15"/>
                <w:szCs w:val="15"/>
              </w:rPr>
              <w:t xml:space="preserve">传真（Fax）:  </w:t>
            </w:r>
          </w:p>
        </w:tc>
        <w:tc>
          <w:tcPr>
            <w:tcW w:w="2835" w:type="dxa"/>
            <w:tcBorders>
              <w:top w:val="single" w:color="auto" w:sz="4" w:space="0"/>
              <w:left w:val="nil"/>
              <w:bottom w:val="single" w:color="auto" w:sz="4" w:space="0"/>
              <w:right w:val="nil"/>
            </w:tcBorders>
            <w:shd w:val="clear" w:color="auto" w:fill="auto"/>
          </w:tcPr>
          <w:p w14:paraId="2E772670">
            <w:pPr>
              <w:jc w:val="left"/>
              <w:rPr>
                <w:sz w:val="15"/>
                <w:szCs w:val="15"/>
              </w:rPr>
            </w:pPr>
            <w:r>
              <w:rPr>
                <w:rFonts w:hint="eastAsia"/>
                <w:sz w:val="15"/>
                <w:szCs w:val="15"/>
              </w:rPr>
              <w:t>(8610)83915190</w:t>
            </w:r>
          </w:p>
        </w:tc>
      </w:tr>
      <w:tr w14:paraId="6509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827" w:type="dxa"/>
            <w:vMerge w:val="continue"/>
            <w:tcBorders>
              <w:top w:val="nil"/>
              <w:left w:val="nil"/>
              <w:bottom w:val="nil"/>
              <w:right w:val="nil"/>
            </w:tcBorders>
            <w:shd w:val="clear" w:color="auto" w:fill="auto"/>
          </w:tcPr>
          <w:p w14:paraId="575D991D">
            <w:pPr>
              <w:ind w:left="281" w:right="281"/>
              <w:rPr>
                <w:rFonts w:ascii="Calibri" w:hAnsi="Calibri"/>
                <w:szCs w:val="22"/>
              </w:rPr>
            </w:pPr>
          </w:p>
        </w:tc>
        <w:tc>
          <w:tcPr>
            <w:tcW w:w="4933" w:type="dxa"/>
            <w:vMerge w:val="continue"/>
            <w:tcBorders>
              <w:top w:val="nil"/>
              <w:left w:val="nil"/>
              <w:bottom w:val="nil"/>
              <w:right w:val="nil"/>
            </w:tcBorders>
            <w:shd w:val="clear" w:color="auto" w:fill="auto"/>
          </w:tcPr>
          <w:p w14:paraId="2C1A2F63">
            <w:pPr>
              <w:ind w:left="281" w:right="281"/>
              <w:jc w:val="center"/>
              <w:rPr>
                <w:rFonts w:ascii="Calibri" w:hAnsi="Calibri"/>
                <w:sz w:val="18"/>
                <w:szCs w:val="18"/>
              </w:rPr>
            </w:pPr>
          </w:p>
        </w:tc>
        <w:tc>
          <w:tcPr>
            <w:tcW w:w="425" w:type="dxa"/>
            <w:vMerge w:val="continue"/>
            <w:tcBorders>
              <w:top w:val="nil"/>
              <w:left w:val="nil"/>
              <w:bottom w:val="nil"/>
              <w:right w:val="nil"/>
            </w:tcBorders>
            <w:shd w:val="clear" w:color="auto" w:fill="auto"/>
          </w:tcPr>
          <w:p w14:paraId="05E7F169">
            <w:pPr>
              <w:ind w:left="281" w:right="281"/>
              <w:rPr>
                <w:rFonts w:ascii="Calibri" w:hAnsi="Calibri"/>
                <w:szCs w:val="22"/>
              </w:rPr>
            </w:pPr>
          </w:p>
        </w:tc>
        <w:tc>
          <w:tcPr>
            <w:tcW w:w="3828" w:type="dxa"/>
            <w:gridSpan w:val="2"/>
            <w:tcBorders>
              <w:top w:val="single" w:color="auto" w:sz="4" w:space="0"/>
              <w:left w:val="nil"/>
              <w:bottom w:val="single" w:color="auto" w:sz="4" w:space="0"/>
              <w:right w:val="nil"/>
            </w:tcBorders>
            <w:shd w:val="clear" w:color="auto" w:fill="auto"/>
          </w:tcPr>
          <w:p w14:paraId="2CDC7A46">
            <w:pPr>
              <w:ind w:right="281"/>
              <w:jc w:val="left"/>
              <w:rPr>
                <w:rFonts w:ascii="Calibri" w:hAnsi="Calibri"/>
                <w:sz w:val="15"/>
                <w:szCs w:val="15"/>
              </w:rPr>
            </w:pPr>
            <w:r>
              <w:rPr>
                <w:rFonts w:hint="eastAsia"/>
                <w:sz w:val="15"/>
                <w:szCs w:val="15"/>
              </w:rPr>
              <w:t>邮政编码</w:t>
            </w:r>
            <w:r>
              <w:rPr>
                <w:sz w:val="15"/>
                <w:szCs w:val="15"/>
              </w:rPr>
              <w:t>(Postal Code):  100044</w:t>
            </w:r>
          </w:p>
        </w:tc>
      </w:tr>
      <w:tr w14:paraId="59306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827" w:type="dxa"/>
            <w:tcBorders>
              <w:top w:val="nil"/>
              <w:left w:val="nil"/>
              <w:bottom w:val="nil"/>
              <w:right w:val="nil"/>
            </w:tcBorders>
            <w:shd w:val="clear" w:color="auto" w:fill="auto"/>
          </w:tcPr>
          <w:p w14:paraId="1EBE0CFE">
            <w:pPr>
              <w:ind w:left="281" w:right="281"/>
              <w:rPr>
                <w:rFonts w:ascii="Calibri" w:hAnsi="Calibri"/>
                <w:szCs w:val="22"/>
              </w:rPr>
            </w:pPr>
          </w:p>
        </w:tc>
        <w:tc>
          <w:tcPr>
            <w:tcW w:w="4933" w:type="dxa"/>
            <w:tcBorders>
              <w:top w:val="nil"/>
              <w:left w:val="nil"/>
              <w:bottom w:val="nil"/>
              <w:right w:val="nil"/>
            </w:tcBorders>
            <w:shd w:val="clear" w:color="auto" w:fill="auto"/>
          </w:tcPr>
          <w:p w14:paraId="3D938B27">
            <w:pPr>
              <w:ind w:left="281" w:right="281"/>
              <w:jc w:val="center"/>
              <w:rPr>
                <w:rFonts w:ascii="Calibri" w:hAnsi="Calibri"/>
                <w:sz w:val="18"/>
                <w:szCs w:val="18"/>
              </w:rPr>
            </w:pPr>
          </w:p>
        </w:tc>
        <w:tc>
          <w:tcPr>
            <w:tcW w:w="425" w:type="dxa"/>
            <w:tcBorders>
              <w:top w:val="nil"/>
              <w:left w:val="nil"/>
              <w:bottom w:val="nil"/>
              <w:right w:val="nil"/>
            </w:tcBorders>
            <w:shd w:val="clear" w:color="auto" w:fill="auto"/>
          </w:tcPr>
          <w:p w14:paraId="570E0B48">
            <w:pPr>
              <w:spacing w:line="0" w:lineRule="atLeast"/>
              <w:jc w:val="left"/>
              <w:rPr>
                <w:sz w:val="18"/>
                <w:szCs w:val="18"/>
              </w:rPr>
            </w:pPr>
          </w:p>
        </w:tc>
        <w:tc>
          <w:tcPr>
            <w:tcW w:w="3828" w:type="dxa"/>
            <w:gridSpan w:val="2"/>
            <w:tcBorders>
              <w:top w:val="single" w:color="auto" w:sz="4" w:space="0"/>
              <w:left w:val="nil"/>
              <w:bottom w:val="single" w:color="auto" w:sz="4" w:space="0"/>
              <w:right w:val="nil"/>
            </w:tcBorders>
            <w:shd w:val="clear" w:color="auto" w:fill="auto"/>
          </w:tcPr>
          <w:p w14:paraId="4A7CA067">
            <w:pPr>
              <w:spacing w:line="0" w:lineRule="atLeast"/>
              <w:jc w:val="left"/>
              <w:rPr>
                <w:sz w:val="18"/>
                <w:szCs w:val="18"/>
              </w:rPr>
            </w:pPr>
            <w:r>
              <w:rPr>
                <w:rFonts w:hint="eastAsia"/>
                <w:sz w:val="18"/>
                <w:szCs w:val="18"/>
              </w:rPr>
              <w:t>湖北分所地址：武汉市江岸区二七路航天商务广场B座19层3-7室、20层5-7室</w:t>
            </w:r>
          </w:p>
        </w:tc>
      </w:tr>
      <w:tr w14:paraId="01EF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827" w:type="dxa"/>
            <w:tcBorders>
              <w:top w:val="nil"/>
              <w:left w:val="nil"/>
              <w:bottom w:val="nil"/>
              <w:right w:val="nil"/>
            </w:tcBorders>
            <w:shd w:val="clear" w:color="auto" w:fill="auto"/>
          </w:tcPr>
          <w:p w14:paraId="69522C0B">
            <w:pPr>
              <w:ind w:left="281" w:right="281"/>
              <w:rPr>
                <w:rFonts w:ascii="Calibri" w:hAnsi="Calibri"/>
                <w:szCs w:val="22"/>
              </w:rPr>
            </w:pPr>
          </w:p>
        </w:tc>
        <w:tc>
          <w:tcPr>
            <w:tcW w:w="4933" w:type="dxa"/>
            <w:tcBorders>
              <w:top w:val="nil"/>
              <w:left w:val="nil"/>
              <w:bottom w:val="nil"/>
              <w:right w:val="nil"/>
            </w:tcBorders>
            <w:shd w:val="clear" w:color="auto" w:fill="auto"/>
          </w:tcPr>
          <w:p w14:paraId="1F926821">
            <w:pPr>
              <w:ind w:left="281" w:right="281"/>
              <w:jc w:val="center"/>
              <w:rPr>
                <w:rFonts w:ascii="Calibri" w:hAnsi="Calibri"/>
                <w:sz w:val="18"/>
                <w:szCs w:val="18"/>
              </w:rPr>
            </w:pPr>
          </w:p>
        </w:tc>
        <w:tc>
          <w:tcPr>
            <w:tcW w:w="425" w:type="dxa"/>
            <w:tcBorders>
              <w:top w:val="nil"/>
              <w:left w:val="nil"/>
              <w:bottom w:val="nil"/>
              <w:right w:val="nil"/>
            </w:tcBorders>
            <w:shd w:val="clear" w:color="auto" w:fill="auto"/>
          </w:tcPr>
          <w:p w14:paraId="6CC86876"/>
        </w:tc>
        <w:tc>
          <w:tcPr>
            <w:tcW w:w="3828" w:type="dxa"/>
            <w:gridSpan w:val="2"/>
            <w:tcBorders>
              <w:top w:val="single" w:color="auto" w:sz="4" w:space="0"/>
              <w:left w:val="nil"/>
              <w:bottom w:val="single" w:color="auto" w:sz="4" w:space="0"/>
              <w:right w:val="nil"/>
            </w:tcBorders>
            <w:shd w:val="clear" w:color="auto" w:fill="auto"/>
          </w:tcPr>
          <w:p w14:paraId="399C9228">
            <w:pPr>
              <w:jc w:val="left"/>
              <w:rPr>
                <w:sz w:val="15"/>
                <w:szCs w:val="15"/>
              </w:rPr>
            </w:pPr>
            <w:r>
              <w:rPr>
                <w:rFonts w:hint="eastAsia"/>
                <w:sz w:val="15"/>
                <w:szCs w:val="15"/>
              </w:rPr>
              <w:t>电话（Tel）：（027）82286733</w:t>
            </w:r>
          </w:p>
        </w:tc>
      </w:tr>
      <w:tr w14:paraId="3BB8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827" w:type="dxa"/>
            <w:tcBorders>
              <w:top w:val="nil"/>
              <w:left w:val="nil"/>
              <w:bottom w:val="nil"/>
              <w:right w:val="nil"/>
            </w:tcBorders>
            <w:shd w:val="clear" w:color="auto" w:fill="auto"/>
          </w:tcPr>
          <w:p w14:paraId="5C186D9F">
            <w:pPr>
              <w:ind w:left="281" w:right="281"/>
              <w:rPr>
                <w:rFonts w:ascii="Calibri" w:hAnsi="Calibri"/>
                <w:szCs w:val="22"/>
              </w:rPr>
            </w:pPr>
          </w:p>
        </w:tc>
        <w:tc>
          <w:tcPr>
            <w:tcW w:w="4933" w:type="dxa"/>
            <w:tcBorders>
              <w:top w:val="nil"/>
              <w:left w:val="nil"/>
              <w:bottom w:val="nil"/>
              <w:right w:val="nil"/>
            </w:tcBorders>
            <w:shd w:val="clear" w:color="auto" w:fill="auto"/>
          </w:tcPr>
          <w:p w14:paraId="0D89AF44">
            <w:pPr>
              <w:ind w:left="281" w:right="281"/>
              <w:jc w:val="center"/>
              <w:rPr>
                <w:rFonts w:ascii="Calibri" w:hAnsi="Calibri"/>
                <w:sz w:val="18"/>
                <w:szCs w:val="18"/>
              </w:rPr>
            </w:pPr>
          </w:p>
        </w:tc>
        <w:tc>
          <w:tcPr>
            <w:tcW w:w="425" w:type="dxa"/>
            <w:tcBorders>
              <w:top w:val="nil"/>
              <w:left w:val="nil"/>
              <w:bottom w:val="nil"/>
              <w:right w:val="nil"/>
            </w:tcBorders>
            <w:shd w:val="clear" w:color="auto" w:fill="auto"/>
          </w:tcPr>
          <w:p w14:paraId="0D1AE0D2"/>
        </w:tc>
        <w:tc>
          <w:tcPr>
            <w:tcW w:w="3828" w:type="dxa"/>
            <w:gridSpan w:val="2"/>
            <w:tcBorders>
              <w:top w:val="single" w:color="auto" w:sz="4" w:space="0"/>
              <w:left w:val="nil"/>
              <w:bottom w:val="single" w:color="auto" w:sz="4" w:space="0"/>
              <w:right w:val="nil"/>
            </w:tcBorders>
            <w:shd w:val="clear" w:color="auto" w:fill="auto"/>
          </w:tcPr>
          <w:p w14:paraId="458D64D4">
            <w:pPr>
              <w:jc w:val="left"/>
              <w:rPr>
                <w:sz w:val="15"/>
                <w:szCs w:val="15"/>
              </w:rPr>
            </w:pPr>
            <w:r>
              <w:rPr>
                <w:rFonts w:hint="eastAsia"/>
                <w:sz w:val="15"/>
                <w:szCs w:val="15"/>
              </w:rPr>
              <w:t>邮政编码（Postal Code）：430012</w:t>
            </w:r>
          </w:p>
        </w:tc>
      </w:tr>
    </w:tbl>
    <w:p w14:paraId="2F896CD5"/>
    <w:p w14:paraId="1C6198DA">
      <w:pPr>
        <w:pStyle w:val="27"/>
        <w:spacing w:before="156" w:after="156"/>
        <w:ind w:right="210" w:firstLine="562"/>
        <w:jc w:val="center"/>
        <w:rPr>
          <w:color w:val="auto"/>
        </w:rPr>
      </w:pPr>
      <w:r>
        <w:rPr>
          <w:color w:val="auto"/>
          <w:lang w:val="zh-CN" w:eastAsia="zh-CN"/>
        </w:rPr>
        <w:t>目录</w:t>
      </w:r>
    </w:p>
    <w:p w14:paraId="1372618E">
      <w:pPr>
        <w:pStyle w:val="12"/>
        <w:rPr>
          <w:rFonts w:asciiTheme="minorHAnsi" w:hAnsiTheme="minorHAnsi" w:eastAsiaTheme="minorEastAsia" w:cstheme="minorBidi"/>
          <w:b/>
          <w:kern w:val="2"/>
          <w:sz w:val="21"/>
        </w:rPr>
      </w:pPr>
      <w:r>
        <w:rPr>
          <w:b/>
        </w:rPr>
        <w:fldChar w:fldCharType="begin"/>
      </w:r>
      <w:r>
        <w:rPr>
          <w:b/>
        </w:rPr>
        <w:instrText xml:space="preserve"> TOC \o "1-3" \h \z \u </w:instrText>
      </w:r>
      <w:r>
        <w:rPr>
          <w:b/>
        </w:rPr>
        <w:fldChar w:fldCharType="separate"/>
      </w:r>
      <w:r>
        <w:fldChar w:fldCharType="begin"/>
      </w:r>
      <w:r>
        <w:instrText xml:space="preserve"> HYPERLINK \l "_Toc39935945" </w:instrText>
      </w:r>
      <w:r>
        <w:fldChar w:fldCharType="separate"/>
      </w:r>
      <w:r>
        <w:rPr>
          <w:rStyle w:val="22"/>
          <w:rFonts w:hint="eastAsia"/>
          <w:b/>
        </w:rPr>
        <w:t>一、项目基本情况</w:t>
      </w:r>
      <w:r>
        <w:rPr>
          <w:b/>
        </w:rPr>
        <w:tab/>
      </w:r>
      <w:r>
        <w:rPr>
          <w:b/>
        </w:rPr>
        <w:fldChar w:fldCharType="begin"/>
      </w:r>
      <w:r>
        <w:rPr>
          <w:b/>
        </w:rPr>
        <w:instrText xml:space="preserve"> PAGEREF _Toc39935945 \h </w:instrText>
      </w:r>
      <w:r>
        <w:rPr>
          <w:b/>
        </w:rPr>
        <w:fldChar w:fldCharType="separate"/>
      </w:r>
      <w:r>
        <w:rPr>
          <w:b/>
        </w:rPr>
        <w:t>2</w:t>
      </w:r>
      <w:r>
        <w:rPr>
          <w:b/>
        </w:rPr>
        <w:fldChar w:fldCharType="end"/>
      </w:r>
      <w:r>
        <w:rPr>
          <w:b/>
        </w:rPr>
        <w:fldChar w:fldCharType="end"/>
      </w:r>
    </w:p>
    <w:p w14:paraId="05E1C8E1">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"_Toc39935946" </w:instrText>
      </w:r>
      <w:r>
        <w:fldChar w:fldCharType="separate"/>
      </w:r>
      <w:r>
        <w:rPr>
          <w:rStyle w:val="22"/>
          <w:rFonts w:hint="eastAsia"/>
          <w:b/>
        </w:rPr>
        <w:t>（一）项目概况</w:t>
      </w:r>
      <w:r>
        <w:rPr>
          <w:b/>
        </w:rPr>
        <w:tab/>
      </w:r>
      <w:r>
        <w:rPr>
          <w:b/>
        </w:rPr>
        <w:fldChar w:fldCharType="begin"/>
      </w:r>
      <w:r>
        <w:rPr>
          <w:b/>
        </w:rPr>
        <w:instrText xml:space="preserve"> PAGEREF _Toc39935946 \h </w:instrText>
      </w:r>
      <w:r>
        <w:rPr>
          <w:b/>
        </w:rPr>
        <w:fldChar w:fldCharType="separate"/>
      </w:r>
      <w:r>
        <w:rPr>
          <w:b/>
        </w:rPr>
        <w:t>2</w:t>
      </w:r>
      <w:r>
        <w:rPr>
          <w:b/>
        </w:rPr>
        <w:fldChar w:fldCharType="end"/>
      </w:r>
      <w:r>
        <w:rPr>
          <w:b/>
        </w:rPr>
        <w:fldChar w:fldCharType="end"/>
      </w:r>
    </w:p>
    <w:p w14:paraId="632CD9F7">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"_Toc39935947" </w:instrText>
      </w:r>
      <w:r>
        <w:fldChar w:fldCharType="separate"/>
      </w:r>
      <w:r>
        <w:rPr>
          <w:rStyle w:val="22"/>
          <w:rFonts w:hint="eastAsia"/>
          <w:b/>
        </w:rPr>
        <w:t>（二）项目资金情况</w:t>
      </w:r>
      <w:r>
        <w:rPr>
          <w:b/>
        </w:rPr>
        <w:tab/>
      </w:r>
      <w:r>
        <w:rPr>
          <w:b/>
        </w:rPr>
        <w:fldChar w:fldCharType="begin"/>
      </w:r>
      <w:r>
        <w:rPr>
          <w:b/>
        </w:rPr>
        <w:instrText xml:space="preserve"> PAGEREF _Toc39935947 \h </w:instrText>
      </w:r>
      <w:r>
        <w:rPr>
          <w:b/>
        </w:rPr>
        <w:fldChar w:fldCharType="separate"/>
      </w:r>
      <w:r>
        <w:rPr>
          <w:b/>
        </w:rPr>
        <w:t>3</w:t>
      </w:r>
      <w:r>
        <w:rPr>
          <w:b/>
        </w:rPr>
        <w:fldChar w:fldCharType="end"/>
      </w:r>
      <w:r>
        <w:rPr>
          <w:b/>
        </w:rPr>
        <w:fldChar w:fldCharType="end"/>
      </w:r>
    </w:p>
    <w:p w14:paraId="5184682A">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"_Toc39935948" </w:instrText>
      </w:r>
      <w:r>
        <w:fldChar w:fldCharType="separate"/>
      </w:r>
      <w:r>
        <w:rPr>
          <w:rStyle w:val="22"/>
          <w:rFonts w:hint="eastAsia"/>
          <w:b/>
        </w:rPr>
        <w:t>（三）项目绩效评价目标</w:t>
      </w:r>
      <w:r>
        <w:rPr>
          <w:b/>
        </w:rPr>
        <w:tab/>
      </w:r>
      <w:r>
        <w:rPr>
          <w:b/>
        </w:rPr>
        <w:fldChar w:fldCharType="begin"/>
      </w:r>
      <w:r>
        <w:rPr>
          <w:b/>
        </w:rPr>
        <w:instrText xml:space="preserve"> PAGEREF _Toc39935948 \h </w:instrText>
      </w:r>
      <w:r>
        <w:rPr>
          <w:b/>
        </w:rPr>
        <w:fldChar w:fldCharType="separate"/>
      </w:r>
      <w:r>
        <w:rPr>
          <w:b/>
        </w:rPr>
        <w:t>4</w:t>
      </w:r>
      <w:r>
        <w:rPr>
          <w:b/>
        </w:rPr>
        <w:fldChar w:fldCharType="end"/>
      </w:r>
      <w:r>
        <w:rPr>
          <w:b/>
        </w:rPr>
        <w:fldChar w:fldCharType="end"/>
      </w:r>
    </w:p>
    <w:p w14:paraId="6E7179A8">
      <w:pPr>
        <w:pStyle w:val="12"/>
        <w:rPr>
          <w:rFonts w:asciiTheme="minorHAnsi" w:hAnsiTheme="minorHAnsi" w:eastAsiaTheme="minorEastAsia" w:cstheme="minorBidi"/>
          <w:b/>
          <w:kern w:val="2"/>
          <w:sz w:val="21"/>
        </w:rPr>
      </w:pPr>
      <w:r>
        <w:fldChar w:fldCharType="begin"/>
      </w:r>
      <w:r>
        <w:instrText xml:space="preserve"> HYPERLINK \l "_Toc39935949" </w:instrText>
      </w:r>
      <w:r>
        <w:fldChar w:fldCharType="separate"/>
      </w:r>
      <w:r>
        <w:rPr>
          <w:rStyle w:val="22"/>
          <w:rFonts w:hint="eastAsia"/>
          <w:b/>
        </w:rPr>
        <w:t>二、绩效评价工作情况</w:t>
      </w:r>
      <w:r>
        <w:rPr>
          <w:b/>
        </w:rPr>
        <w:tab/>
      </w:r>
      <w:r>
        <w:rPr>
          <w:b/>
        </w:rPr>
        <w:fldChar w:fldCharType="begin"/>
      </w:r>
      <w:r>
        <w:rPr>
          <w:b/>
        </w:rPr>
        <w:instrText xml:space="preserve"> PAGEREF _Toc39935949 \h </w:instrText>
      </w:r>
      <w:r>
        <w:rPr>
          <w:b/>
        </w:rPr>
        <w:fldChar w:fldCharType="separate"/>
      </w:r>
      <w:r>
        <w:rPr>
          <w:b/>
        </w:rPr>
        <w:t>4</w:t>
      </w:r>
      <w:r>
        <w:rPr>
          <w:b/>
        </w:rPr>
        <w:fldChar w:fldCharType="end"/>
      </w:r>
      <w:r>
        <w:rPr>
          <w:b/>
        </w:rPr>
        <w:fldChar w:fldCharType="end"/>
      </w:r>
    </w:p>
    <w:p w14:paraId="7F3D89E2">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"_Toc39935950" </w:instrText>
      </w:r>
      <w:r>
        <w:fldChar w:fldCharType="separate"/>
      </w:r>
      <w:r>
        <w:rPr>
          <w:rStyle w:val="22"/>
          <w:rFonts w:hint="eastAsia"/>
          <w:b/>
        </w:rPr>
        <w:t>（一）绩效评价目的</w:t>
      </w:r>
      <w:r>
        <w:rPr>
          <w:b/>
        </w:rPr>
        <w:tab/>
      </w:r>
      <w:r>
        <w:rPr>
          <w:b/>
        </w:rPr>
        <w:fldChar w:fldCharType="begin"/>
      </w:r>
      <w:r>
        <w:rPr>
          <w:b/>
        </w:rPr>
        <w:instrText xml:space="preserve"> PAGEREF _Toc39935950 \h </w:instrText>
      </w:r>
      <w:r>
        <w:rPr>
          <w:b/>
        </w:rPr>
        <w:fldChar w:fldCharType="separate"/>
      </w:r>
      <w:r>
        <w:rPr>
          <w:b/>
        </w:rPr>
        <w:t>4</w:t>
      </w:r>
      <w:r>
        <w:rPr>
          <w:b/>
        </w:rPr>
        <w:fldChar w:fldCharType="end"/>
      </w:r>
      <w:r>
        <w:rPr>
          <w:b/>
        </w:rPr>
        <w:fldChar w:fldCharType="end"/>
      </w:r>
    </w:p>
    <w:p w14:paraId="3896620C">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"_Toc39935951" </w:instrText>
      </w:r>
      <w:r>
        <w:fldChar w:fldCharType="separate"/>
      </w:r>
      <w:r>
        <w:rPr>
          <w:rStyle w:val="22"/>
          <w:rFonts w:hint="eastAsia"/>
          <w:b/>
        </w:rPr>
        <w:t>（二）绩效评价设计过程</w:t>
      </w:r>
      <w:r>
        <w:rPr>
          <w:b/>
        </w:rPr>
        <w:tab/>
      </w:r>
      <w:r>
        <w:rPr>
          <w:b/>
        </w:rPr>
        <w:fldChar w:fldCharType="begin"/>
      </w:r>
      <w:r>
        <w:rPr>
          <w:b/>
        </w:rPr>
        <w:instrText xml:space="preserve"> PAGEREF _Toc39935951 \h </w:instrText>
      </w:r>
      <w:r>
        <w:rPr>
          <w:b/>
        </w:rPr>
        <w:fldChar w:fldCharType="separate"/>
      </w:r>
      <w:r>
        <w:rPr>
          <w:b/>
        </w:rPr>
        <w:t>4</w:t>
      </w:r>
      <w:r>
        <w:rPr>
          <w:b/>
        </w:rPr>
        <w:fldChar w:fldCharType="end"/>
      </w:r>
      <w:r>
        <w:rPr>
          <w:b/>
        </w:rPr>
        <w:fldChar w:fldCharType="end"/>
      </w:r>
    </w:p>
    <w:p w14:paraId="682A21AC">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"_Toc39935952" </w:instrText>
      </w:r>
      <w:r>
        <w:fldChar w:fldCharType="separate"/>
      </w:r>
      <w:r>
        <w:rPr>
          <w:rStyle w:val="22"/>
          <w:rFonts w:hint="eastAsia"/>
          <w:b/>
        </w:rPr>
        <w:t>（三）绩效评价原则、评价指标体系、绩效评价方法</w:t>
      </w:r>
      <w:r>
        <w:rPr>
          <w:b/>
        </w:rPr>
        <w:tab/>
      </w:r>
      <w:r>
        <w:rPr>
          <w:b/>
        </w:rPr>
        <w:fldChar w:fldCharType="begin"/>
      </w:r>
      <w:r>
        <w:rPr>
          <w:b/>
        </w:rPr>
        <w:instrText xml:space="preserve"> PAGEREF _Toc39935952 \h </w:instrText>
      </w:r>
      <w:r>
        <w:rPr>
          <w:b/>
        </w:rPr>
        <w:fldChar w:fldCharType="separate"/>
      </w:r>
      <w:r>
        <w:rPr>
          <w:b/>
        </w:rPr>
        <w:t>4</w:t>
      </w:r>
      <w:r>
        <w:rPr>
          <w:b/>
        </w:rPr>
        <w:fldChar w:fldCharType="end"/>
      </w:r>
      <w:r>
        <w:rPr>
          <w:b/>
        </w:rPr>
        <w:fldChar w:fldCharType="end"/>
      </w:r>
    </w:p>
    <w:p w14:paraId="272FEFAB">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"_Toc39935953" </w:instrText>
      </w:r>
      <w:r>
        <w:fldChar w:fldCharType="separate"/>
      </w:r>
      <w:r>
        <w:rPr>
          <w:rStyle w:val="22"/>
          <w:rFonts w:hint="eastAsia"/>
          <w:b/>
        </w:rPr>
        <w:t>（四）证据收集方法</w:t>
      </w:r>
      <w:r>
        <w:rPr>
          <w:b/>
        </w:rPr>
        <w:tab/>
      </w:r>
      <w:r>
        <w:rPr>
          <w:b/>
        </w:rPr>
        <w:fldChar w:fldCharType="begin"/>
      </w:r>
      <w:r>
        <w:rPr>
          <w:b/>
        </w:rPr>
        <w:instrText xml:space="preserve"> PAGEREF _Toc39935953 \h </w:instrText>
      </w:r>
      <w:r>
        <w:rPr>
          <w:b/>
        </w:rPr>
        <w:fldChar w:fldCharType="separate"/>
      </w:r>
      <w:r>
        <w:rPr>
          <w:b/>
        </w:rPr>
        <w:t>6</w:t>
      </w:r>
      <w:r>
        <w:rPr>
          <w:b/>
        </w:rPr>
        <w:fldChar w:fldCharType="end"/>
      </w:r>
      <w:r>
        <w:rPr>
          <w:b/>
        </w:rPr>
        <w:fldChar w:fldCharType="end"/>
      </w:r>
    </w:p>
    <w:p w14:paraId="596D6665">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"_Toc39935954" </w:instrText>
      </w:r>
      <w:r>
        <w:fldChar w:fldCharType="separate"/>
      </w:r>
      <w:r>
        <w:rPr>
          <w:rStyle w:val="22"/>
          <w:rFonts w:hint="eastAsia"/>
          <w:b/>
        </w:rPr>
        <w:t>（五）绩效评价实施过程</w:t>
      </w:r>
      <w:r>
        <w:rPr>
          <w:b/>
        </w:rPr>
        <w:tab/>
      </w:r>
      <w:r>
        <w:rPr>
          <w:b/>
        </w:rPr>
        <w:fldChar w:fldCharType="begin"/>
      </w:r>
      <w:r>
        <w:rPr>
          <w:b/>
        </w:rPr>
        <w:instrText xml:space="preserve"> PAGEREF _Toc39935954 \h </w:instrText>
      </w:r>
      <w:r>
        <w:rPr>
          <w:b/>
        </w:rPr>
        <w:fldChar w:fldCharType="separate"/>
      </w:r>
      <w:r>
        <w:rPr>
          <w:b/>
        </w:rPr>
        <w:t>6</w:t>
      </w:r>
      <w:r>
        <w:rPr>
          <w:b/>
        </w:rPr>
        <w:fldChar w:fldCharType="end"/>
      </w:r>
      <w:r>
        <w:rPr>
          <w:b/>
        </w:rPr>
        <w:fldChar w:fldCharType="end"/>
      </w:r>
    </w:p>
    <w:p w14:paraId="3EB527EB">
      <w:pPr>
        <w:pStyle w:val="12"/>
        <w:rPr>
          <w:rFonts w:asciiTheme="minorHAnsi" w:hAnsiTheme="minorHAnsi" w:eastAsiaTheme="minorEastAsia" w:cstheme="minorBidi"/>
          <w:b/>
          <w:kern w:val="2"/>
          <w:sz w:val="21"/>
        </w:rPr>
      </w:pPr>
      <w:r>
        <w:fldChar w:fldCharType="begin"/>
      </w:r>
      <w:r>
        <w:instrText xml:space="preserve"> HYPERLINK \l "_Toc39935955" </w:instrText>
      </w:r>
      <w:r>
        <w:fldChar w:fldCharType="separate"/>
      </w:r>
      <w:r>
        <w:rPr>
          <w:rStyle w:val="22"/>
          <w:rFonts w:hint="eastAsia"/>
          <w:b/>
        </w:rPr>
        <w:t>三、绩效分析及评价结论</w:t>
      </w:r>
      <w:r>
        <w:rPr>
          <w:b/>
        </w:rPr>
        <w:tab/>
      </w:r>
      <w:r>
        <w:rPr>
          <w:b/>
        </w:rPr>
        <w:fldChar w:fldCharType="begin"/>
      </w:r>
      <w:r>
        <w:rPr>
          <w:b/>
        </w:rPr>
        <w:instrText xml:space="preserve"> PAGEREF _Toc39935955 \h </w:instrText>
      </w:r>
      <w:r>
        <w:rPr>
          <w:b/>
        </w:rPr>
        <w:fldChar w:fldCharType="separate"/>
      </w:r>
      <w:r>
        <w:rPr>
          <w:b/>
        </w:rPr>
        <w:t>7</w:t>
      </w:r>
      <w:r>
        <w:rPr>
          <w:b/>
        </w:rPr>
        <w:fldChar w:fldCharType="end"/>
      </w:r>
      <w:r>
        <w:rPr>
          <w:b/>
        </w:rPr>
        <w:fldChar w:fldCharType="end"/>
      </w:r>
    </w:p>
    <w:p w14:paraId="2E08D944">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"_Toc39935956" </w:instrText>
      </w:r>
      <w:r>
        <w:fldChar w:fldCharType="separate"/>
      </w:r>
      <w:r>
        <w:rPr>
          <w:rStyle w:val="22"/>
          <w:rFonts w:hint="eastAsia"/>
          <w:b/>
        </w:rPr>
        <w:t>（一）绩效分析</w:t>
      </w:r>
      <w:r>
        <w:rPr>
          <w:b/>
        </w:rPr>
        <w:tab/>
      </w:r>
      <w:r>
        <w:rPr>
          <w:b/>
        </w:rPr>
        <w:fldChar w:fldCharType="begin"/>
      </w:r>
      <w:r>
        <w:rPr>
          <w:b/>
        </w:rPr>
        <w:instrText xml:space="preserve"> PAGEREF _Toc39935956 \h </w:instrText>
      </w:r>
      <w:r>
        <w:rPr>
          <w:b/>
        </w:rPr>
        <w:fldChar w:fldCharType="separate"/>
      </w:r>
      <w:r>
        <w:rPr>
          <w:b/>
        </w:rPr>
        <w:t>7</w:t>
      </w:r>
      <w:r>
        <w:rPr>
          <w:b/>
        </w:rPr>
        <w:fldChar w:fldCharType="end"/>
      </w:r>
      <w:r>
        <w:rPr>
          <w:b/>
        </w:rPr>
        <w:fldChar w:fldCharType="end"/>
      </w:r>
    </w:p>
    <w:p w14:paraId="4951AE44">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"_Toc39935957" </w:instrText>
      </w:r>
      <w:r>
        <w:fldChar w:fldCharType="separate"/>
      </w:r>
      <w:r>
        <w:rPr>
          <w:rStyle w:val="22"/>
          <w:rFonts w:hint="eastAsia"/>
          <w:b/>
        </w:rPr>
        <w:t>（二）评价结论</w:t>
      </w:r>
      <w:r>
        <w:rPr>
          <w:b/>
        </w:rPr>
        <w:tab/>
      </w:r>
      <w:r>
        <w:rPr>
          <w:b/>
        </w:rPr>
        <w:fldChar w:fldCharType="begin"/>
      </w:r>
      <w:r>
        <w:rPr>
          <w:b/>
        </w:rPr>
        <w:instrText xml:space="preserve"> PAGEREF _Toc39935957 \h </w:instrText>
      </w:r>
      <w:r>
        <w:rPr>
          <w:b/>
        </w:rPr>
        <w:fldChar w:fldCharType="separate"/>
      </w:r>
      <w:r>
        <w:rPr>
          <w:b/>
        </w:rPr>
        <w:t>19</w:t>
      </w:r>
      <w:r>
        <w:rPr>
          <w:b/>
        </w:rPr>
        <w:fldChar w:fldCharType="end"/>
      </w:r>
      <w:r>
        <w:rPr>
          <w:b/>
        </w:rPr>
        <w:fldChar w:fldCharType="end"/>
      </w:r>
    </w:p>
    <w:p w14:paraId="2A7EDB01">
      <w:pPr>
        <w:pStyle w:val="12"/>
        <w:rPr>
          <w:rFonts w:asciiTheme="minorHAnsi" w:hAnsiTheme="minorHAnsi" w:eastAsiaTheme="minorEastAsia" w:cstheme="minorBidi"/>
          <w:b/>
          <w:kern w:val="2"/>
          <w:sz w:val="21"/>
        </w:rPr>
      </w:pPr>
      <w:r>
        <w:fldChar w:fldCharType="begin"/>
      </w:r>
      <w:r>
        <w:instrText xml:space="preserve"> HYPERLINK \l "_Toc39935958" </w:instrText>
      </w:r>
      <w:r>
        <w:fldChar w:fldCharType="separate"/>
      </w:r>
      <w:r>
        <w:rPr>
          <w:rStyle w:val="22"/>
          <w:rFonts w:hint="eastAsia"/>
          <w:b/>
        </w:rPr>
        <w:t>四、主要经验及做法、存在的问题和建议</w:t>
      </w:r>
      <w:r>
        <w:rPr>
          <w:b/>
        </w:rPr>
        <w:tab/>
      </w:r>
      <w:r>
        <w:rPr>
          <w:b/>
        </w:rPr>
        <w:fldChar w:fldCharType="begin"/>
      </w:r>
      <w:r>
        <w:rPr>
          <w:b/>
        </w:rPr>
        <w:instrText xml:space="preserve"> PAGEREF _Toc39935958 \h </w:instrText>
      </w:r>
      <w:r>
        <w:rPr>
          <w:b/>
        </w:rPr>
        <w:fldChar w:fldCharType="separate"/>
      </w:r>
      <w:r>
        <w:rPr>
          <w:b/>
        </w:rPr>
        <w:t>19</w:t>
      </w:r>
      <w:r>
        <w:rPr>
          <w:b/>
        </w:rPr>
        <w:fldChar w:fldCharType="end"/>
      </w:r>
      <w:r>
        <w:rPr>
          <w:b/>
        </w:rPr>
        <w:fldChar w:fldCharType="end"/>
      </w:r>
    </w:p>
    <w:p w14:paraId="282A5BAB">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"_Toc39935959" </w:instrText>
      </w:r>
      <w:r>
        <w:fldChar w:fldCharType="separate"/>
      </w:r>
      <w:r>
        <w:rPr>
          <w:rStyle w:val="22"/>
          <w:rFonts w:hint="eastAsia"/>
          <w:b/>
        </w:rPr>
        <w:t>（一）主要经验及做法</w:t>
      </w:r>
      <w:r>
        <w:rPr>
          <w:b/>
        </w:rPr>
        <w:tab/>
      </w:r>
      <w:r>
        <w:rPr>
          <w:b/>
        </w:rPr>
        <w:fldChar w:fldCharType="begin"/>
      </w:r>
      <w:r>
        <w:rPr>
          <w:b/>
        </w:rPr>
        <w:instrText xml:space="preserve"> PAGEREF _Toc39935959 \h </w:instrText>
      </w:r>
      <w:r>
        <w:rPr>
          <w:b/>
        </w:rPr>
        <w:fldChar w:fldCharType="separate"/>
      </w:r>
      <w:r>
        <w:rPr>
          <w:b/>
        </w:rPr>
        <w:t>19</w:t>
      </w:r>
      <w:r>
        <w:rPr>
          <w:b/>
        </w:rPr>
        <w:fldChar w:fldCharType="end"/>
      </w:r>
      <w:r>
        <w:rPr>
          <w:b/>
        </w:rPr>
        <w:fldChar w:fldCharType="end"/>
      </w:r>
    </w:p>
    <w:p w14:paraId="3BAFB514">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"_Toc39935960" </w:instrText>
      </w:r>
      <w:r>
        <w:fldChar w:fldCharType="separate"/>
      </w:r>
      <w:r>
        <w:rPr>
          <w:rStyle w:val="22"/>
          <w:rFonts w:hint="eastAsia"/>
          <w:b/>
        </w:rPr>
        <w:t>（二）存在的问题</w:t>
      </w:r>
      <w:r>
        <w:rPr>
          <w:b/>
        </w:rPr>
        <w:tab/>
      </w:r>
      <w:r>
        <w:rPr>
          <w:b/>
        </w:rPr>
        <w:fldChar w:fldCharType="begin"/>
      </w:r>
      <w:r>
        <w:rPr>
          <w:b/>
        </w:rPr>
        <w:instrText xml:space="preserve"> PAGEREF _Toc39935960 \h </w:instrText>
      </w:r>
      <w:r>
        <w:rPr>
          <w:b/>
        </w:rPr>
        <w:fldChar w:fldCharType="separate"/>
      </w:r>
      <w:r>
        <w:rPr>
          <w:b/>
        </w:rPr>
        <w:t>20</w:t>
      </w:r>
      <w:r>
        <w:rPr>
          <w:b/>
        </w:rPr>
        <w:fldChar w:fldCharType="end"/>
      </w:r>
      <w:r>
        <w:rPr>
          <w:b/>
        </w:rPr>
        <w:fldChar w:fldCharType="end"/>
      </w:r>
    </w:p>
    <w:p w14:paraId="6A38BABC">
      <w:pPr>
        <w:pStyle w:val="15"/>
        <w:tabs>
          <w:tab w:val="right" w:leader="dot" w:pos="8396"/>
        </w:tabs>
        <w:rPr>
          <w:rFonts w:asciiTheme="minorHAnsi" w:hAnsiTheme="minorHAnsi" w:eastAsiaTheme="minorEastAsia" w:cstheme="minorBidi"/>
          <w:b/>
          <w:kern w:val="2"/>
          <w:sz w:val="21"/>
        </w:rPr>
      </w:pPr>
      <w:r>
        <w:fldChar w:fldCharType="begin"/>
      </w:r>
      <w:r>
        <w:instrText xml:space="preserve"> HYPERLINK \l "_Toc39935961" </w:instrText>
      </w:r>
      <w:r>
        <w:fldChar w:fldCharType="separate"/>
      </w:r>
      <w:r>
        <w:rPr>
          <w:rStyle w:val="22"/>
          <w:rFonts w:hint="eastAsia"/>
          <w:b/>
        </w:rPr>
        <w:t>（三）建议和改进举措</w:t>
      </w:r>
      <w:r>
        <w:rPr>
          <w:b/>
        </w:rPr>
        <w:tab/>
      </w:r>
      <w:r>
        <w:rPr>
          <w:b/>
        </w:rPr>
        <w:fldChar w:fldCharType="begin"/>
      </w:r>
      <w:r>
        <w:rPr>
          <w:b/>
        </w:rPr>
        <w:instrText xml:space="preserve"> PAGEREF _Toc39935961 \h </w:instrText>
      </w:r>
      <w:r>
        <w:rPr>
          <w:b/>
        </w:rPr>
        <w:fldChar w:fldCharType="separate"/>
      </w:r>
      <w:r>
        <w:rPr>
          <w:b/>
        </w:rPr>
        <w:t>20</w:t>
      </w:r>
      <w:r>
        <w:rPr>
          <w:b/>
        </w:rPr>
        <w:fldChar w:fldCharType="end"/>
      </w:r>
      <w:r>
        <w:rPr>
          <w:b/>
        </w:rPr>
        <w:fldChar w:fldCharType="end"/>
      </w:r>
    </w:p>
    <w:p w14:paraId="3F725116">
      <w:pPr>
        <w:pStyle w:val="12"/>
        <w:rPr>
          <w:rFonts w:asciiTheme="minorHAnsi" w:hAnsiTheme="minorHAnsi" w:eastAsiaTheme="minorEastAsia" w:cstheme="minorBidi"/>
          <w:b/>
          <w:kern w:val="2"/>
          <w:sz w:val="21"/>
        </w:rPr>
      </w:pPr>
      <w:r>
        <w:fldChar w:fldCharType="begin"/>
      </w:r>
      <w:r>
        <w:instrText xml:space="preserve"> HYPERLINK \l "_Toc39935962" </w:instrText>
      </w:r>
      <w:r>
        <w:fldChar w:fldCharType="separate"/>
      </w:r>
      <w:r>
        <w:rPr>
          <w:rStyle w:val="22"/>
          <w:rFonts w:hint="eastAsia"/>
          <w:b/>
        </w:rPr>
        <w:t>五、其他需说明的问题</w:t>
      </w:r>
      <w:r>
        <w:rPr>
          <w:b/>
        </w:rPr>
        <w:tab/>
      </w:r>
      <w:r>
        <w:rPr>
          <w:b/>
        </w:rPr>
        <w:fldChar w:fldCharType="begin"/>
      </w:r>
      <w:r>
        <w:rPr>
          <w:b/>
        </w:rPr>
        <w:instrText xml:space="preserve"> PAGEREF _Toc39935962 \h </w:instrText>
      </w:r>
      <w:r>
        <w:rPr>
          <w:b/>
        </w:rPr>
        <w:fldChar w:fldCharType="separate"/>
      </w:r>
      <w:r>
        <w:rPr>
          <w:b/>
        </w:rPr>
        <w:t>21</w:t>
      </w:r>
      <w:r>
        <w:rPr>
          <w:b/>
        </w:rPr>
        <w:fldChar w:fldCharType="end"/>
      </w:r>
      <w:r>
        <w:rPr>
          <w:b/>
        </w:rPr>
        <w:fldChar w:fldCharType="end"/>
      </w:r>
    </w:p>
    <w:p w14:paraId="2618C4D1">
      <w:pPr>
        <w:spacing w:line="360" w:lineRule="auto"/>
        <w:jc w:val="center"/>
        <w:rPr>
          <w:rFonts w:ascii="宋体" w:hAnsi="宋体"/>
          <w:b/>
          <w:sz w:val="36"/>
          <w:szCs w:val="36"/>
        </w:rPr>
      </w:pPr>
      <w:r>
        <w:rPr>
          <w:rFonts w:ascii="宋体" w:hAnsi="宋体"/>
          <w:b/>
          <w:bCs/>
          <w:sz w:val="24"/>
          <w:lang w:val="zh-CN"/>
        </w:rPr>
        <w:fldChar w:fldCharType="end"/>
      </w:r>
      <w:r>
        <w:rPr>
          <w:sz w:val="24"/>
        </w:rPr>
        <w:br w:type="page"/>
      </w:r>
      <w:r>
        <w:rPr>
          <w:rFonts w:hint="eastAsia" w:ascii="宋体" w:hAnsi="宋体"/>
          <w:b/>
          <w:sz w:val="36"/>
          <w:szCs w:val="36"/>
        </w:rPr>
        <w:t>2019年度武汉航空发展引导专项资金</w:t>
      </w:r>
    </w:p>
    <w:p w14:paraId="210B0BB7">
      <w:pPr>
        <w:framePr w:hSpace="180" w:wrap="around" w:vAnchor="text" w:hAnchor="margin" w:y="191"/>
        <w:ind w:left="281"/>
        <w:jc w:val="center"/>
        <w:rPr>
          <w:rFonts w:ascii="宋体" w:hAnsi="宋体"/>
          <w:b/>
          <w:sz w:val="36"/>
          <w:szCs w:val="36"/>
        </w:rPr>
      </w:pPr>
      <w:r>
        <w:rPr>
          <w:rFonts w:hint="eastAsia" w:ascii="宋体" w:hAnsi="宋体"/>
          <w:b/>
          <w:sz w:val="36"/>
          <w:szCs w:val="36"/>
        </w:rPr>
        <w:t>绩效评价报告</w:t>
      </w:r>
    </w:p>
    <w:p w14:paraId="11E1D4FD">
      <w:pPr>
        <w:framePr w:hSpace="180" w:wrap="around" w:vAnchor="text" w:hAnchor="margin" w:y="191"/>
        <w:ind w:left="281"/>
        <w:jc w:val="center"/>
        <w:rPr>
          <w:rFonts w:ascii="黑体" w:hAnsi="黑体" w:eastAsia="黑体"/>
          <w:b/>
          <w:szCs w:val="21"/>
        </w:rPr>
      </w:pPr>
    </w:p>
    <w:p w14:paraId="1F3C4C39">
      <w:pPr>
        <w:framePr w:hSpace="180" w:wrap="around" w:vAnchor="text" w:hAnchor="margin" w:y="191"/>
        <w:ind w:left="281"/>
        <w:jc w:val="center"/>
        <w:rPr>
          <w:rFonts w:ascii="宋体" w:hAnsi="宋体"/>
          <w:b/>
          <w:szCs w:val="21"/>
        </w:rPr>
      </w:pPr>
      <w:r>
        <w:rPr>
          <w:rFonts w:hint="eastAsia" w:ascii="宋体" w:hAnsi="宋体"/>
          <w:b/>
          <w:szCs w:val="21"/>
        </w:rPr>
        <w:t>天圆全湖北专审字[2020]</w:t>
      </w:r>
      <w:r>
        <w:rPr>
          <w:rFonts w:hint="eastAsia" w:ascii="宋体" w:hAnsi="宋体"/>
          <w:b/>
          <w:szCs w:val="21"/>
          <w:highlight w:val="yellow"/>
        </w:rPr>
        <w:t>000000</w:t>
      </w:r>
      <w:r>
        <w:rPr>
          <w:rFonts w:hint="eastAsia" w:ascii="宋体" w:hAnsi="宋体"/>
          <w:b/>
          <w:szCs w:val="21"/>
        </w:rPr>
        <w:t>号</w:t>
      </w:r>
    </w:p>
    <w:p w14:paraId="7C7135AA">
      <w:pPr>
        <w:pStyle w:val="35"/>
        <w:spacing w:before="156" w:after="156"/>
        <w:ind w:firstLine="0" w:firstLineChars="0"/>
        <w:rPr>
          <w:b/>
        </w:rPr>
      </w:pPr>
      <w:bookmarkStart w:id="0" w:name="_Toc39760506"/>
      <w:r>
        <w:rPr>
          <w:rFonts w:hint="eastAsia"/>
          <w:b/>
        </w:rPr>
        <w:t>武汉市交通运输局：</w:t>
      </w:r>
      <w:bookmarkEnd w:id="0"/>
    </w:p>
    <w:p w14:paraId="0BA6DF2B">
      <w:pPr>
        <w:pStyle w:val="35"/>
        <w:spacing w:before="156" w:after="156"/>
        <w:ind w:firstLine="480"/>
      </w:pPr>
      <w:bookmarkStart w:id="1" w:name="_Toc39760507"/>
      <w:r>
        <w:rPr>
          <w:rFonts w:hint="eastAsia"/>
        </w:rPr>
        <w:t>我们接受委托对2019年度武汉航空发展引导专项资金进行绩效评价。委托方的责任是保证所提供资料的真实、完整、合法，不存在虚假记载、误导性陈述或重大遗漏。我们的责任是按照《项目支出绩效评价管理办法》（财预[2020]10号）、《湖北省民航业发展专项资金管理暂行办法》（鄂财建发[2018]185号）、《武汉航空发展引导专项资金管理办法》（武政规[2018]4号）、《武汉航空发展引导专项资金管理实施细则（修订稿）》（鄂机场发[2019]263号）等文件的要求，遵循“科学规范、客观公正、绩效相关、全面细化”的原则，运用科学、合理的绩效评价指标、评价标准和评价方法，结合该项目实际和特点进行绩效评价，对2019年度武汉航空发展引导专项资金出具绩效评价报告。现将评价过程及其结果报告如下：</w:t>
      </w:r>
      <w:bookmarkEnd w:id="1"/>
    </w:p>
    <w:p w14:paraId="405A1B32">
      <w:pPr>
        <w:pStyle w:val="2"/>
        <w:spacing w:before="156" w:after="156"/>
        <w:ind w:right="210" w:firstLine="562"/>
        <w:rPr>
          <w:lang w:eastAsia="zh-CN"/>
        </w:rPr>
      </w:pPr>
      <w:bookmarkStart w:id="2" w:name="_Toc39935945"/>
      <w:r>
        <w:rPr>
          <w:rFonts w:hint="eastAsia"/>
        </w:rPr>
        <w:t>一、项目基本情况</w:t>
      </w:r>
      <w:bookmarkEnd w:id="2"/>
    </w:p>
    <w:p w14:paraId="152133DE">
      <w:pPr>
        <w:pStyle w:val="17"/>
        <w:spacing w:before="50" w:beforeAutospacing="0" w:after="50" w:afterAutospacing="0"/>
        <w:ind w:right="210" w:firstLine="482"/>
        <w:rPr>
          <w:rFonts w:ascii="宋体" w:hAnsi="宋体"/>
        </w:rPr>
      </w:pPr>
      <w:bookmarkStart w:id="3" w:name="_Toc39935946"/>
      <w:r>
        <w:rPr>
          <w:rFonts w:hint="eastAsia"/>
        </w:rPr>
        <w:t>（一）项目概况</w:t>
      </w:r>
      <w:bookmarkEnd w:id="3"/>
    </w:p>
    <w:p w14:paraId="728AC255">
      <w:pPr>
        <w:pStyle w:val="35"/>
        <w:spacing w:before="156" w:after="156"/>
        <w:ind w:firstLine="480"/>
      </w:pPr>
      <w:bookmarkStart w:id="4" w:name="_Toc39760510"/>
      <w:bookmarkStart w:id="5" w:name="_Toc513580547"/>
      <w:r>
        <w:rPr>
          <w:rFonts w:hint="eastAsia"/>
        </w:rPr>
        <w:t>1.项目立项背景</w:t>
      </w:r>
      <w:bookmarkEnd w:id="4"/>
    </w:p>
    <w:p w14:paraId="159E0B46">
      <w:pPr>
        <w:pStyle w:val="35"/>
        <w:spacing w:before="156" w:after="156"/>
        <w:ind w:firstLine="480"/>
      </w:pPr>
      <w:bookmarkStart w:id="6" w:name="_Toc39760511"/>
      <w:r>
        <w:rPr>
          <w:rFonts w:hint="eastAsia"/>
        </w:rPr>
        <w:t>为了加快我省民航事业发展，构建全省综合交通运输体系，打造“客货双枢纽”，根据《省人民政府关于加快全省民航业发展的意见》（鄂政发[2012]23号）、《市人民政府关于印发&lt;武汉航空发展引导专项资金奖励办法&gt;的通知》（武政规[2013]3号）等文件要求，设立武汉航空发展引导专项资金（以下简称航空专项资金）。为规范航空专项资金管理，强化部门责任意识，提高航空专项资金使用效益，陆续出台了《武汉航空发展引导专项资金管理办法》（武政规[2018]4号）、《武汉航空发展引导专项资金管理实施细则（试行）》（鄂机场发[2018]207号）、《武汉航空发展引导专项资金管理实施细则（修订稿）》（鄂机场发[2019]263号）等相关规定。</w:t>
      </w:r>
      <w:bookmarkEnd w:id="6"/>
    </w:p>
    <w:p w14:paraId="4CACF580">
      <w:pPr>
        <w:pStyle w:val="35"/>
        <w:spacing w:before="156" w:after="156"/>
        <w:ind w:firstLine="480"/>
      </w:pPr>
      <w:bookmarkStart w:id="7" w:name="_Toc39760512"/>
      <w:r>
        <w:rPr>
          <w:rFonts w:hint="eastAsia"/>
        </w:rPr>
        <w:t>航空专项资金坚持市场化、基金化运作方向。现阶段由武汉市人民政府确定的平台企业，采用市场化运作方式统筹使用，待条件成熟后，再转为基金化运作方式。</w:t>
      </w:r>
      <w:bookmarkEnd w:id="7"/>
    </w:p>
    <w:bookmarkEnd w:id="5"/>
    <w:p w14:paraId="656E9D75">
      <w:pPr>
        <w:pStyle w:val="35"/>
        <w:spacing w:before="156" w:after="156"/>
        <w:ind w:firstLine="480"/>
      </w:pPr>
      <w:bookmarkStart w:id="8" w:name="_Toc39760513"/>
      <w:bookmarkStart w:id="9" w:name="_Toc513580548"/>
      <w:r>
        <w:rPr>
          <w:rFonts w:hint="eastAsia"/>
        </w:rPr>
        <w:t>2.资金预算执行部门</w:t>
      </w:r>
      <w:bookmarkEnd w:id="8"/>
    </w:p>
    <w:p w14:paraId="30D4DEDA">
      <w:pPr>
        <w:pStyle w:val="35"/>
        <w:spacing w:before="156" w:after="156"/>
        <w:ind w:firstLine="480"/>
      </w:pPr>
      <w:bookmarkStart w:id="10" w:name="_Toc39760514"/>
      <w:r>
        <w:rPr>
          <w:rFonts w:hint="eastAsia"/>
        </w:rPr>
        <w:t>航空专项资金的预算执行部门为武汉市交通运输局（以下简称“市交通运输局”），系武汉市机构改革组建的新部门，由武汉市交通运输委员会更名而成，为武汉市人民政府工作部门，财政拨款全额预算单位，统一社会信用代码为1142010001089065XH，注册地址为湖北省武汉市江岸区黄孝河路47号。</w:t>
      </w:r>
      <w:bookmarkEnd w:id="10"/>
    </w:p>
    <w:p w14:paraId="22A6F59D">
      <w:pPr>
        <w:pStyle w:val="35"/>
        <w:spacing w:before="156" w:after="156"/>
        <w:ind w:firstLine="480"/>
      </w:pPr>
      <w:bookmarkStart w:id="11" w:name="_Toc39760515"/>
      <w:r>
        <w:rPr>
          <w:rFonts w:hint="eastAsia"/>
        </w:rPr>
        <w:t>3.资金管理平台企业</w:t>
      </w:r>
      <w:bookmarkEnd w:id="11"/>
    </w:p>
    <w:p w14:paraId="517E1B9A">
      <w:pPr>
        <w:pStyle w:val="35"/>
        <w:spacing w:before="156" w:after="156"/>
        <w:ind w:firstLine="480"/>
      </w:pPr>
      <w:bookmarkStart w:id="12" w:name="_Toc39760516"/>
      <w:r>
        <w:rPr>
          <w:rFonts w:hint="eastAsia"/>
        </w:rPr>
        <w:t>航空专项资金的资金管理平台企业为武汉市人民政府指定的武汉天河机场有限责任公司（以下简称机场公司）。该公司成立于1998年5月7日，类型：有限责任公司；住所：黄陂区天河镇；法定代表人：陈辉；注册资本：柒亿圆整。机场公司经营范围：机场营运、规划和发展；航空客、货运输代理服务；航空售票代理；航空器维修；场地出租、仓储服务；机电设备维修；花木绿化；电子及计算机网络集成工程；计算机网络运行服务；电子及计算机产品销售；通讯设备安装、维修；设计、制作；发布、代理国内各类广告业务；房地产开发；商品房销售。（国家有专项规定的经营项目经审批后或凭许可证件在核定的期限内方可经营）。</w:t>
      </w:r>
      <w:bookmarkEnd w:id="12"/>
    </w:p>
    <w:p w14:paraId="3EE10003">
      <w:pPr>
        <w:pStyle w:val="17"/>
        <w:spacing w:before="50" w:beforeAutospacing="0" w:after="50" w:afterAutospacing="0"/>
        <w:ind w:firstLine="482"/>
      </w:pPr>
      <w:bookmarkStart w:id="13" w:name="_Toc39935947"/>
      <w:r>
        <w:rPr>
          <w:rFonts w:hint="eastAsia"/>
        </w:rPr>
        <w:t>（二）项目资金情况</w:t>
      </w:r>
      <w:bookmarkEnd w:id="13"/>
    </w:p>
    <w:p w14:paraId="78FC2B0E">
      <w:pPr>
        <w:pStyle w:val="35"/>
        <w:spacing w:before="156" w:after="156"/>
        <w:ind w:firstLine="480"/>
      </w:pPr>
      <w:bookmarkStart w:id="14" w:name="_Toc39760520"/>
      <w:r>
        <w:rPr>
          <w:rFonts w:hint="eastAsia"/>
        </w:rPr>
        <w:t>1.预算单位资金到位情况</w:t>
      </w:r>
    </w:p>
    <w:bookmarkEnd w:id="14"/>
    <w:p w14:paraId="52E44E7A">
      <w:pPr>
        <w:pStyle w:val="35"/>
        <w:spacing w:before="156" w:after="156"/>
        <w:ind w:firstLine="480"/>
      </w:pPr>
      <w:bookmarkStart w:id="15" w:name="_Toc39654305"/>
      <w:bookmarkStart w:id="16" w:name="_Toc39154979"/>
      <w:bookmarkStart w:id="17" w:name="_Toc39760521"/>
      <w:r>
        <w:rPr>
          <w:rFonts w:hint="eastAsia"/>
        </w:rPr>
        <w:t>武汉市财政局以《市财政局关于批复市交通运输委2019年预算的函》（武财建函[2019]70号），批复武汉市交通运输委员会2019年航空引导发展专项资金预算90,000万元，主要用于2019年航线奖励资金及2018年绩效考核资金。</w:t>
      </w:r>
      <w:bookmarkEnd w:id="15"/>
      <w:bookmarkEnd w:id="16"/>
      <w:bookmarkEnd w:id="17"/>
    </w:p>
    <w:p w14:paraId="245E9C0E">
      <w:pPr>
        <w:pStyle w:val="35"/>
        <w:spacing w:before="156" w:after="156"/>
        <w:ind w:firstLine="480"/>
      </w:pPr>
      <w:bookmarkStart w:id="18" w:name="_Toc39654306"/>
      <w:bookmarkStart w:id="19" w:name="_Toc39154980"/>
      <w:bookmarkStart w:id="20" w:name="_Toc39760522"/>
      <w:r>
        <w:rPr>
          <w:rFonts w:hint="eastAsia"/>
        </w:rPr>
        <w:t>2.预算单位资金下拨情况</w:t>
      </w:r>
    </w:p>
    <w:p w14:paraId="1F33A682">
      <w:pPr>
        <w:pStyle w:val="35"/>
        <w:spacing w:before="156" w:after="156"/>
        <w:ind w:firstLine="480"/>
      </w:pPr>
      <w:r>
        <w:rPr>
          <w:rFonts w:hint="eastAsia"/>
        </w:rPr>
        <w:t>市交通运输局2019年度航空专项资金预算90,000万元，于2019年1月31日、9月30日分两次向机场公司拨付90,000万元，年末无结余资金。</w:t>
      </w:r>
    </w:p>
    <w:bookmarkEnd w:id="9"/>
    <w:bookmarkEnd w:id="18"/>
    <w:bookmarkEnd w:id="19"/>
    <w:bookmarkEnd w:id="20"/>
    <w:p w14:paraId="7416BCE9">
      <w:pPr>
        <w:pStyle w:val="17"/>
        <w:spacing w:before="50" w:beforeAutospacing="0" w:after="50" w:afterAutospacing="0"/>
        <w:ind w:firstLine="482"/>
      </w:pPr>
      <w:bookmarkStart w:id="21" w:name="_Toc39935948"/>
      <w:r>
        <w:rPr>
          <w:rFonts w:hint="eastAsia"/>
        </w:rPr>
        <w:t>（三）项目绩效评价目标</w:t>
      </w:r>
      <w:bookmarkEnd w:id="21"/>
    </w:p>
    <w:p w14:paraId="3241FEDD">
      <w:pPr>
        <w:pStyle w:val="35"/>
        <w:spacing w:before="156" w:after="156"/>
        <w:ind w:firstLine="480"/>
      </w:pPr>
      <w:r>
        <w:rPr>
          <w:rFonts w:hint="eastAsia"/>
        </w:rPr>
        <w:t>根据市交通运输局提供《2019年市直部门项目申报表及绩效目标表》反映：</w:t>
      </w:r>
    </w:p>
    <w:p w14:paraId="06F1E327">
      <w:pPr>
        <w:pStyle w:val="35"/>
        <w:spacing w:before="156" w:after="156"/>
        <w:ind w:firstLine="480"/>
      </w:pPr>
      <w:r>
        <w:rPr>
          <w:rFonts w:hint="eastAsia"/>
        </w:rPr>
        <w:t>1.2019年度航空专项资金的长期绩效目标为：贯彻第十三次党代会“加快建设国家中心城市，建设现代化、国际化、生态化大武汉”的精神，落实《政府工作报告》确定的“加快推进建设中部门户枢纽机场，加强大通道大平台大通关建设，新开通国际及地区航线3条以上，发展国际全货机航线”的工作任务。</w:t>
      </w:r>
    </w:p>
    <w:p w14:paraId="678725C2">
      <w:pPr>
        <w:pStyle w:val="35"/>
        <w:spacing w:before="156" w:after="156"/>
        <w:ind w:firstLine="480"/>
      </w:pPr>
      <w:r>
        <w:rPr>
          <w:rFonts w:hint="eastAsia"/>
        </w:rPr>
        <w:t>2.2019年度航空专项资金的年度绩效目标为：计划新开国际航线3条以上，促进现有航线稳定运营，力争全年航线达到62条；实施民航发展专项资金管理办法（新办法），考核资金承接企业绩效目标完成情况；加大中转业务，提升中转效率；帮助民航企业市场宣传和营销，推广武汉民航发展，展现武汉民航发展成果。</w:t>
      </w:r>
    </w:p>
    <w:p w14:paraId="1E59F5A8">
      <w:pPr>
        <w:pStyle w:val="2"/>
        <w:spacing w:before="156" w:after="156"/>
        <w:ind w:firstLine="562"/>
      </w:pPr>
      <w:bookmarkStart w:id="22" w:name="_Toc39935949"/>
      <w:r>
        <w:rPr>
          <w:rFonts w:hint="eastAsia"/>
        </w:rPr>
        <w:t>二、绩效评价工作情况</w:t>
      </w:r>
      <w:bookmarkEnd w:id="22"/>
    </w:p>
    <w:p w14:paraId="42D069BC">
      <w:pPr>
        <w:pStyle w:val="17"/>
        <w:spacing w:before="50" w:beforeAutospacing="0" w:after="50" w:afterAutospacing="0"/>
        <w:ind w:firstLine="482"/>
      </w:pPr>
      <w:bookmarkStart w:id="23" w:name="_Toc39935950"/>
      <w:r>
        <w:rPr>
          <w:rFonts w:hint="eastAsia"/>
        </w:rPr>
        <w:t>（一）绩效评价目的</w:t>
      </w:r>
      <w:bookmarkEnd w:id="23"/>
    </w:p>
    <w:p w14:paraId="340F0B47">
      <w:pPr>
        <w:pStyle w:val="35"/>
        <w:spacing w:before="156" w:after="156"/>
        <w:ind w:firstLine="480"/>
      </w:pPr>
      <w:r>
        <w:rPr>
          <w:rFonts w:hint="eastAsia"/>
        </w:rPr>
        <w:t>根据《省财政厅 省发展改革委关于印发&lt;湖北省民航业发展专项资金管理暂行办法&gt;的通知》（鄂财建发[2018]185号）、《市人民政府关于印发&lt;武汉航空发展引导专项资金管理办法&gt;的通知》（武政规[2018]4号）、财政部《项目支出绩效评价管理办法》（财预[2020]10号）等文件要求，为加强航空专项资金管理，提高资金使用效益，强化绩效考核意识，为市级预算决策提供有力依据，对2019年度武汉航空发展引导专项资金进行绩效评价。</w:t>
      </w:r>
    </w:p>
    <w:p w14:paraId="45D304AA">
      <w:pPr>
        <w:pStyle w:val="17"/>
        <w:spacing w:before="50" w:beforeAutospacing="0" w:after="50" w:afterAutospacing="0"/>
        <w:ind w:firstLine="482"/>
      </w:pPr>
      <w:bookmarkStart w:id="24" w:name="_Toc39935951"/>
      <w:r>
        <w:rPr>
          <w:rFonts w:hint="eastAsia"/>
        </w:rPr>
        <w:t>（二）绩效评价设计过程</w:t>
      </w:r>
      <w:bookmarkEnd w:id="24"/>
    </w:p>
    <w:p w14:paraId="2DABFC8C">
      <w:pPr>
        <w:pStyle w:val="35"/>
        <w:spacing w:before="156" w:after="156"/>
        <w:ind w:firstLine="480"/>
      </w:pPr>
      <w:r>
        <w:rPr>
          <w:rFonts w:hint="eastAsia"/>
        </w:rPr>
        <w:t>组建绩效评价工作小组，明确绩效评价目的，了解政策方向、资金管理等情况，根据绩效评价规范的要求和本次评价的实际情况，拟订了绩效评价工作方案；工作小组结合财政部《项目支出绩效评价管理办法》（财预[2020]10号）等文件要求，结合项目绩效考核目标值的实际情况，参照财政部项目支出绩效评价指标体系框架，制定了绩效评价指标体系。</w:t>
      </w:r>
    </w:p>
    <w:p w14:paraId="41AA23D9">
      <w:pPr>
        <w:pStyle w:val="17"/>
        <w:spacing w:before="50" w:beforeAutospacing="0" w:after="50" w:afterAutospacing="0"/>
        <w:ind w:firstLine="482"/>
      </w:pPr>
      <w:bookmarkStart w:id="25" w:name="_Toc39935952"/>
      <w:r>
        <w:rPr>
          <w:rFonts w:hint="eastAsia"/>
        </w:rPr>
        <w:t>（三）绩效评价原则、评价指标体系、绩效评价方法</w:t>
      </w:r>
      <w:bookmarkEnd w:id="25"/>
    </w:p>
    <w:p w14:paraId="2D3BFF36">
      <w:pPr>
        <w:pStyle w:val="35"/>
        <w:spacing w:before="156" w:after="156"/>
        <w:ind w:firstLine="480"/>
        <w:rPr>
          <w:b/>
        </w:rPr>
      </w:pPr>
      <w:r>
        <w:rPr>
          <w:rFonts w:hint="eastAsia"/>
        </w:rPr>
        <w:t>1.绩效评价原则</w:t>
      </w:r>
    </w:p>
    <w:p w14:paraId="73E818E3">
      <w:pPr>
        <w:pStyle w:val="35"/>
        <w:spacing w:before="156" w:after="156"/>
        <w:ind w:firstLine="480"/>
      </w:pPr>
      <w:r>
        <w:rPr>
          <w:rFonts w:hint="eastAsia"/>
        </w:rPr>
        <w:t>2019年度武汉航空发展引导专项资金绩效评价遵循以下原则：</w:t>
      </w:r>
    </w:p>
    <w:p w14:paraId="340466A0">
      <w:pPr>
        <w:pStyle w:val="35"/>
        <w:spacing w:before="156" w:after="156"/>
        <w:ind w:firstLine="480"/>
      </w:pPr>
      <w:r>
        <w:rPr>
          <w:rFonts w:hint="eastAsia"/>
        </w:rPr>
        <w:t>（1）科学规范原则。航空专项资金绩效评价注重项目支出的经济性、效率性和效益性，严格执行规定的程序，采用定量与定性分析相结合的方法，规范开展绩效评价工作。</w:t>
      </w:r>
    </w:p>
    <w:p w14:paraId="70FE5881">
      <w:pPr>
        <w:pStyle w:val="35"/>
        <w:spacing w:before="156" w:after="156"/>
        <w:ind w:firstLine="480"/>
      </w:pPr>
      <w:r>
        <w:rPr>
          <w:rFonts w:hint="eastAsia"/>
        </w:rPr>
        <w:t>（2）客观公正原则。航空专项资金绩效评价遵循客观、公正原则，采用沟通访谈和检查分析相结合的方法，实事求是地评价航空专项资金的绩效状况。</w:t>
      </w:r>
    </w:p>
    <w:p w14:paraId="60C04B64">
      <w:pPr>
        <w:pStyle w:val="35"/>
        <w:spacing w:before="156" w:after="156"/>
        <w:ind w:firstLine="480"/>
      </w:pPr>
      <w:r>
        <w:rPr>
          <w:rFonts w:hint="eastAsia"/>
        </w:rPr>
        <w:t>（3）绩效相关原则。航空专项资金绩效评价工作针对具体支出及其产出实施绩效评价程序，侧重围绕航空专项资金绩效目标，优先选取最具代表性、最能直接反映产出和效益的核心指标，清晰反映支出和产出绩效之间的密切关系。</w:t>
      </w:r>
    </w:p>
    <w:p w14:paraId="37B4FAC5">
      <w:pPr>
        <w:pStyle w:val="35"/>
        <w:spacing w:before="156" w:after="156"/>
        <w:ind w:firstLine="480"/>
      </w:pPr>
      <w:r>
        <w:rPr>
          <w:rFonts w:hint="eastAsia"/>
        </w:rPr>
        <w:t>（4）全面细化原则。绩效评价对航空专项资金决策、过程、产出、效益全过程实施覆盖，同时突出目标导向，结合航空行业特点，明确细化指标，量化可衡量指标值。</w:t>
      </w:r>
    </w:p>
    <w:p w14:paraId="764DCF4C">
      <w:pPr>
        <w:pStyle w:val="35"/>
        <w:spacing w:before="156" w:after="156"/>
        <w:ind w:firstLine="480"/>
      </w:pPr>
      <w:r>
        <w:rPr>
          <w:rFonts w:hint="eastAsia"/>
        </w:rPr>
        <w:t>2.评价指标体系</w:t>
      </w:r>
    </w:p>
    <w:p w14:paraId="3E4CAB5B">
      <w:pPr>
        <w:pStyle w:val="35"/>
        <w:spacing w:before="156" w:after="156"/>
        <w:ind w:firstLine="480"/>
      </w:pPr>
      <w:r>
        <w:rPr>
          <w:rFonts w:hint="eastAsia"/>
        </w:rPr>
        <w:t>评价指标体系本着相关性、重要性、可比性、系统性、经济性原则，根据财政部《项目支出绩效评价管理办法》（财预[2020]10号）的最新规定，参考《2019年武汉航空发展引导专项资金绩效考核评分标准》（武交[2019]195号），设计了包含决策、过程、产出、效益的评价指标体系。其中：决策、过程两个一级指标参照财政部的项目支出绩效评价指标体系框架制定；产出、效益两个一级指标则结合2019年武汉航空发展引导专项资金绩效考核目标制定。</w:t>
      </w:r>
    </w:p>
    <w:p w14:paraId="38C396E8">
      <w:pPr>
        <w:pStyle w:val="35"/>
        <w:spacing w:before="156" w:after="156"/>
        <w:ind w:firstLine="480"/>
      </w:pPr>
      <w:r>
        <w:rPr>
          <w:rFonts w:hint="eastAsia"/>
        </w:rPr>
        <w:t>绩效评价指标分4个一级指标、10个二级指标、24个三级指标进行计算、分析和评价。</w:t>
      </w:r>
    </w:p>
    <w:p w14:paraId="2326AF35">
      <w:pPr>
        <w:pStyle w:val="35"/>
        <w:spacing w:before="156" w:after="156"/>
        <w:ind w:firstLine="480"/>
      </w:pPr>
      <w:r>
        <w:rPr>
          <w:rFonts w:hint="eastAsia"/>
        </w:rPr>
        <w:t>决策（一级指标）12分，其中：项目立项4分、绩效目标8分。</w:t>
      </w:r>
    </w:p>
    <w:p w14:paraId="262B5250">
      <w:pPr>
        <w:pStyle w:val="35"/>
        <w:spacing w:before="156" w:after="156"/>
        <w:ind w:firstLine="480"/>
      </w:pPr>
      <w:r>
        <w:rPr>
          <w:rFonts w:hint="eastAsia"/>
        </w:rPr>
        <w:t>过程（一级指标）24分，其中：资金管理12分、组织实施12分。</w:t>
      </w:r>
    </w:p>
    <w:p w14:paraId="642054DC">
      <w:pPr>
        <w:pStyle w:val="35"/>
        <w:spacing w:before="156" w:after="156"/>
        <w:ind w:firstLine="480"/>
      </w:pPr>
      <w:r>
        <w:rPr>
          <w:rFonts w:hint="eastAsia"/>
        </w:rPr>
        <w:t>产出（一级指标）34分，其中：运营指标12分、航线指标15分、中转指标7分。</w:t>
      </w:r>
    </w:p>
    <w:p w14:paraId="1556B9FF">
      <w:pPr>
        <w:pStyle w:val="35"/>
        <w:spacing w:before="156" w:after="156"/>
        <w:ind w:firstLine="480"/>
      </w:pPr>
      <w:r>
        <w:rPr>
          <w:rFonts w:hint="eastAsia"/>
        </w:rPr>
        <w:t>效益（一级指标）30分，其中：社会效益12分、经济效益6分，实施效益12分。</w:t>
      </w:r>
    </w:p>
    <w:p w14:paraId="369224E7">
      <w:pPr>
        <w:pStyle w:val="35"/>
        <w:spacing w:before="156" w:after="156"/>
        <w:ind w:firstLine="480"/>
      </w:pPr>
      <w:r>
        <w:rPr>
          <w:rFonts w:hint="eastAsia"/>
        </w:rPr>
        <w:t>评价等级根据评价总得分确定为优（90-100分）、良（80-89分）、中（60-79分）、差（0-59分）四个等级。</w:t>
      </w:r>
    </w:p>
    <w:p w14:paraId="123830E8">
      <w:pPr>
        <w:pStyle w:val="35"/>
        <w:spacing w:before="156" w:after="156"/>
        <w:ind w:firstLine="480"/>
      </w:pPr>
      <w:r>
        <w:rPr>
          <w:rFonts w:hint="eastAsia"/>
        </w:rPr>
        <w:t>3.绩效评价方法</w:t>
      </w:r>
    </w:p>
    <w:p w14:paraId="6AA4356E">
      <w:pPr>
        <w:pStyle w:val="35"/>
        <w:spacing w:before="156" w:after="156"/>
        <w:ind w:firstLine="480"/>
      </w:pPr>
      <w:r>
        <w:rPr>
          <w:rFonts w:hint="eastAsia"/>
        </w:rPr>
        <w:t>本项目的评价方法综合运用成本效益分析法、比较法、因素分析法等方法，将项目过程与产出、效益进行对比分析，将上年与本年同期情况进行比较，综合评价绩效目标的实现程度。</w:t>
      </w:r>
    </w:p>
    <w:p w14:paraId="48636A4E">
      <w:pPr>
        <w:pStyle w:val="17"/>
        <w:spacing w:before="50" w:beforeAutospacing="0" w:after="50" w:afterAutospacing="0"/>
        <w:ind w:firstLine="482"/>
      </w:pPr>
      <w:bookmarkStart w:id="26" w:name="_Toc39935953"/>
      <w:r>
        <w:rPr>
          <w:rFonts w:hint="eastAsia"/>
        </w:rPr>
        <w:t>（四）证据收集方法</w:t>
      </w:r>
      <w:bookmarkEnd w:id="26"/>
    </w:p>
    <w:p w14:paraId="2847ED77">
      <w:pPr>
        <w:pStyle w:val="35"/>
        <w:spacing w:before="156" w:after="156"/>
        <w:ind w:firstLine="480"/>
      </w:pPr>
      <w:r>
        <w:rPr>
          <w:rFonts w:hint="eastAsia"/>
        </w:rPr>
        <w:t>1.案卷研析</w:t>
      </w:r>
    </w:p>
    <w:p w14:paraId="39B7AB42">
      <w:pPr>
        <w:pStyle w:val="35"/>
        <w:spacing w:before="156" w:after="156"/>
        <w:ind w:firstLine="480"/>
      </w:pPr>
      <w:r>
        <w:rPr>
          <w:rFonts w:hint="eastAsia"/>
        </w:rPr>
        <w:t>从市交通运输局、机场公司、互联网收集文件资料，整理、分析各种来源文件资料中的数据，对同一指标在不同文件资料中的数据进行对比核实，如不同来源的数据存在差异，分析差异的原因进行核查，最后确定选择使用的数据，从而更有利于客观、科学、合理的做出绩效评价。</w:t>
      </w:r>
    </w:p>
    <w:p w14:paraId="5F9840A2">
      <w:pPr>
        <w:pStyle w:val="35"/>
        <w:spacing w:before="156" w:after="156"/>
        <w:ind w:firstLine="480"/>
      </w:pPr>
      <w:r>
        <w:rPr>
          <w:rFonts w:hint="eastAsia"/>
        </w:rPr>
        <w:t>2.实地调研</w:t>
      </w:r>
    </w:p>
    <w:p w14:paraId="7D773A65">
      <w:pPr>
        <w:pStyle w:val="35"/>
        <w:spacing w:before="156" w:after="156"/>
        <w:ind w:firstLine="480"/>
      </w:pPr>
      <w:r>
        <w:rPr>
          <w:rFonts w:hint="eastAsia"/>
        </w:rPr>
        <w:t>进驻机场公司，现场走访南航、东航、国航等航空公司，通过询问、核对、检查等方法获取绩效评价所需基础资料，对相关记录进行整理与分析。</w:t>
      </w:r>
    </w:p>
    <w:p w14:paraId="6A284AD2">
      <w:pPr>
        <w:pStyle w:val="35"/>
        <w:spacing w:before="156" w:after="156"/>
        <w:ind w:firstLine="480"/>
      </w:pPr>
      <w:r>
        <w:rPr>
          <w:rFonts w:hint="eastAsia"/>
        </w:rPr>
        <w:t>3.开座谈会</w:t>
      </w:r>
    </w:p>
    <w:p w14:paraId="351255AC">
      <w:pPr>
        <w:pStyle w:val="35"/>
        <w:spacing w:before="156" w:after="156"/>
        <w:ind w:firstLine="480"/>
        <w:rPr>
          <w:highlight w:val="yellow"/>
        </w:rPr>
      </w:pPr>
      <w:r>
        <w:rPr>
          <w:rFonts w:hint="eastAsia"/>
        </w:rPr>
        <w:t>通过听取市交通运输局、机场公司对于项目背景、过程管理的陈述和分析，及时进行有效沟通、洽谈，听取意见和建议，从而为后面进行绩效评价和撰写绩效评价报告奠定坚实的基础。</w:t>
      </w:r>
    </w:p>
    <w:p w14:paraId="5FD8C5A1">
      <w:pPr>
        <w:pStyle w:val="17"/>
        <w:spacing w:before="50" w:beforeAutospacing="0" w:after="50" w:afterAutospacing="0"/>
        <w:ind w:firstLine="482"/>
      </w:pPr>
      <w:bookmarkStart w:id="27" w:name="_Toc39935954"/>
      <w:r>
        <w:rPr>
          <w:rFonts w:hint="eastAsia"/>
        </w:rPr>
        <w:t>（五）绩效评价实施过程</w:t>
      </w:r>
      <w:bookmarkEnd w:id="27"/>
    </w:p>
    <w:p w14:paraId="23EF93C3">
      <w:pPr>
        <w:pStyle w:val="35"/>
        <w:spacing w:before="156" w:after="156"/>
        <w:ind w:firstLine="480"/>
      </w:pPr>
      <w:r>
        <w:rPr>
          <w:rFonts w:hint="eastAsia"/>
        </w:rPr>
        <w:t>本次评价实施过程如下：</w:t>
      </w:r>
    </w:p>
    <w:p w14:paraId="15E8FE06">
      <w:pPr>
        <w:pStyle w:val="35"/>
        <w:spacing w:before="156" w:after="156"/>
        <w:ind w:firstLine="480"/>
      </w:pPr>
      <w:r>
        <w:rPr>
          <w:rFonts w:hint="eastAsia"/>
        </w:rPr>
        <w:t>1.前期准备阶段</w:t>
      </w:r>
    </w:p>
    <w:p w14:paraId="71926CCA">
      <w:pPr>
        <w:pStyle w:val="35"/>
        <w:spacing w:before="156" w:after="156"/>
        <w:ind w:firstLine="480"/>
      </w:pPr>
      <w:r>
        <w:rPr>
          <w:rFonts w:hint="eastAsia"/>
        </w:rPr>
        <w:t>主要是组建评价工作小组，拟定绩效评价工作方案；通过与市交通运输局、机场公司座谈沟通，了解绩效考核指标的可参考性，准备所需资料清单等。</w:t>
      </w:r>
    </w:p>
    <w:p w14:paraId="249FB8AE">
      <w:pPr>
        <w:pStyle w:val="35"/>
        <w:spacing w:before="156" w:after="156"/>
        <w:ind w:firstLine="480"/>
      </w:pPr>
      <w:r>
        <w:rPr>
          <w:rFonts w:hint="eastAsia"/>
        </w:rPr>
        <w:t>2.组织评价阶段</w:t>
      </w:r>
    </w:p>
    <w:p w14:paraId="72A02024">
      <w:pPr>
        <w:pStyle w:val="35"/>
        <w:spacing w:before="156" w:after="156"/>
        <w:ind w:firstLine="480"/>
      </w:pPr>
      <w:r>
        <w:rPr>
          <w:rFonts w:hint="eastAsia"/>
        </w:rPr>
        <w:t>主要是召开评价小组会议，学习有关文件精神和具体工作要求，介绍绩效评价目的、方法，进行人员分工；在机场公司初步准备后，评价小组深入市交通运输局、机场公司，以座谈沟通、查阅相关资料、核查财务凭证等多种形式获取信息，复核基础数据和评价证据，并多次就相关资料的补充、完善进行反复沟通；评价小组成员还按照审计程序对相关会计资料和财务数据进行认真复核，筛选出相关财务信息；根据设计的绩效评价指标体系对指标完成情况进行分别评分，统计指标得分，并进行讨论、起草评价小组意见。</w:t>
      </w:r>
    </w:p>
    <w:p w14:paraId="7913BFD1">
      <w:pPr>
        <w:pStyle w:val="35"/>
        <w:spacing w:before="156" w:after="156"/>
        <w:ind w:firstLine="480"/>
      </w:pPr>
      <w:r>
        <w:rPr>
          <w:rFonts w:hint="eastAsia"/>
        </w:rPr>
        <w:t>评价证据力求保证质量，准确可靠。一是评价证据要充分、完整，勾稽关系严密，二是通过案卷研析、实地调研、开座谈会、公开媒体等方式获得的评价证据之间，能够互相印证和补充。</w:t>
      </w:r>
    </w:p>
    <w:p w14:paraId="2538489A">
      <w:pPr>
        <w:pStyle w:val="35"/>
        <w:spacing w:before="156" w:after="156"/>
        <w:ind w:firstLine="480"/>
      </w:pPr>
      <w:r>
        <w:rPr>
          <w:rFonts w:hint="eastAsia"/>
        </w:rPr>
        <w:t>3.分析总结阶段</w:t>
      </w:r>
    </w:p>
    <w:p w14:paraId="683484E1">
      <w:pPr>
        <w:pStyle w:val="35"/>
        <w:spacing w:before="156" w:after="156"/>
        <w:ind w:firstLine="480"/>
        <w:rPr>
          <w:highlight w:val="yellow"/>
        </w:rPr>
      </w:pPr>
      <w:r>
        <w:rPr>
          <w:rFonts w:hint="eastAsia"/>
        </w:rPr>
        <w:t>完成系列基础性、前置性工作后，评价小组开始集中精力进行数据分析及指标计算，以核实确定存在差异的数据以及前期尚未达成共识的问题，按规范格式撰写绩效评价报告初稿，送有关方面征求意见，进一步修改后出具正式报告。</w:t>
      </w:r>
    </w:p>
    <w:p w14:paraId="0C87EB34">
      <w:pPr>
        <w:pStyle w:val="2"/>
        <w:spacing w:before="156" w:after="156"/>
        <w:ind w:firstLine="562"/>
      </w:pPr>
      <w:bookmarkStart w:id="28" w:name="_Toc39935955"/>
      <w:r>
        <w:rPr>
          <w:rFonts w:hint="eastAsia"/>
        </w:rPr>
        <w:t>三、绩效分析及评价结论</w:t>
      </w:r>
      <w:bookmarkEnd w:id="28"/>
    </w:p>
    <w:p w14:paraId="4BF22701">
      <w:pPr>
        <w:pStyle w:val="17"/>
        <w:spacing w:before="50" w:beforeAutospacing="0" w:after="50" w:afterAutospacing="0"/>
        <w:ind w:firstLine="482"/>
      </w:pPr>
      <w:bookmarkStart w:id="29" w:name="_Toc39935956"/>
      <w:r>
        <w:rPr>
          <w:rFonts w:hint="eastAsia"/>
        </w:rPr>
        <w:t>（一）绩效分析</w:t>
      </w:r>
      <w:bookmarkEnd w:id="29"/>
    </w:p>
    <w:p w14:paraId="720DAAFE">
      <w:pPr>
        <w:pStyle w:val="35"/>
        <w:spacing w:before="156" w:after="156"/>
        <w:ind w:firstLine="480"/>
      </w:pPr>
      <w:bookmarkStart w:id="30" w:name="_Toc513580565"/>
      <w:bookmarkStart w:id="31" w:name="_Toc39760535"/>
      <w:r>
        <w:rPr>
          <w:rFonts w:hint="eastAsia"/>
        </w:rPr>
        <w:t>1.</w:t>
      </w:r>
      <w:bookmarkEnd w:id="30"/>
      <w:r>
        <w:rPr>
          <w:rFonts w:hint="eastAsia"/>
        </w:rPr>
        <w:t>决策（12分）</w:t>
      </w:r>
      <w:bookmarkEnd w:id="31"/>
    </w:p>
    <w:p w14:paraId="4D95518C">
      <w:pPr>
        <w:pStyle w:val="35"/>
        <w:spacing w:before="156" w:after="156"/>
        <w:ind w:firstLine="480"/>
      </w:pPr>
      <w:bookmarkStart w:id="32" w:name="_Toc39760536"/>
      <w:bookmarkStart w:id="33" w:name="_Toc513580566"/>
      <w:r>
        <w:rPr>
          <w:rFonts w:hint="eastAsia"/>
        </w:rPr>
        <w:t>决策指标基准分值为12分，评价得分为12分。具体详情如下：</w:t>
      </w:r>
      <w:bookmarkEnd w:id="32"/>
    </w:p>
    <w:tbl>
      <w:tblPr>
        <w:tblStyle w:val="19"/>
        <w:tblW w:w="9340" w:type="dxa"/>
        <w:jc w:val="center"/>
        <w:tblBorders>
          <w:top w:val="double" w:color="auto" w:sz="4" w:space="0"/>
          <w:left w:val="none" w:color="auto" w:sz="0" w:space="0"/>
          <w:bottom w:val="double" w:color="auto" w:sz="4"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60"/>
        <w:gridCol w:w="1060"/>
        <w:gridCol w:w="2175"/>
        <w:gridCol w:w="3985"/>
        <w:gridCol w:w="1060"/>
      </w:tblGrid>
      <w:tr w14:paraId="3640A07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shd w:val="clear" w:color="auto" w:fill="auto"/>
            <w:vAlign w:val="center"/>
          </w:tcPr>
          <w:p w14:paraId="380D4FC5">
            <w:pPr>
              <w:widowControl/>
              <w:jc w:val="center"/>
              <w:rPr>
                <w:rFonts w:ascii="仿宋" w:hAnsi="仿宋" w:eastAsia="仿宋" w:cs="宋体"/>
                <w:b/>
                <w:bCs/>
                <w:kern w:val="0"/>
                <w:sz w:val="18"/>
                <w:szCs w:val="18"/>
              </w:rPr>
            </w:pPr>
            <w:bookmarkStart w:id="34" w:name="_Toc39760537"/>
            <w:r>
              <w:rPr>
                <w:rFonts w:hint="eastAsia" w:ascii="仿宋" w:hAnsi="仿宋" w:eastAsia="仿宋" w:cs="宋体"/>
                <w:b/>
                <w:bCs/>
                <w:kern w:val="0"/>
                <w:sz w:val="18"/>
                <w:szCs w:val="18"/>
              </w:rPr>
              <w:t>一级指标</w:t>
            </w:r>
          </w:p>
        </w:tc>
        <w:tc>
          <w:tcPr>
            <w:tcW w:w="1060" w:type="dxa"/>
            <w:shd w:val="clear" w:color="auto" w:fill="auto"/>
            <w:vAlign w:val="center"/>
          </w:tcPr>
          <w:p w14:paraId="602D90F6">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二级指标</w:t>
            </w:r>
          </w:p>
        </w:tc>
        <w:tc>
          <w:tcPr>
            <w:tcW w:w="2175" w:type="dxa"/>
            <w:shd w:val="clear" w:color="auto" w:fill="auto"/>
            <w:vAlign w:val="center"/>
          </w:tcPr>
          <w:p w14:paraId="011A777D">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三级指标</w:t>
            </w:r>
          </w:p>
        </w:tc>
        <w:tc>
          <w:tcPr>
            <w:tcW w:w="3985" w:type="dxa"/>
            <w:shd w:val="clear" w:color="auto" w:fill="auto"/>
            <w:vAlign w:val="center"/>
          </w:tcPr>
          <w:p w14:paraId="4A041738">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评分标准</w:t>
            </w:r>
          </w:p>
        </w:tc>
        <w:tc>
          <w:tcPr>
            <w:tcW w:w="1060" w:type="dxa"/>
            <w:shd w:val="clear" w:color="auto" w:fill="auto"/>
            <w:vAlign w:val="center"/>
          </w:tcPr>
          <w:p w14:paraId="667EC665">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w:t>
            </w:r>
          </w:p>
        </w:tc>
      </w:tr>
      <w:tr w14:paraId="67EC9DA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jc w:val="center"/>
        </w:trPr>
        <w:tc>
          <w:tcPr>
            <w:tcW w:w="1060" w:type="dxa"/>
            <w:vMerge w:val="restart"/>
            <w:shd w:val="clear" w:color="auto" w:fill="auto"/>
            <w:vAlign w:val="center"/>
          </w:tcPr>
          <w:p w14:paraId="668BACCB">
            <w:pPr>
              <w:widowControl/>
              <w:jc w:val="center"/>
              <w:rPr>
                <w:rFonts w:ascii="仿宋" w:hAnsi="仿宋" w:eastAsia="仿宋" w:cs="宋体"/>
                <w:kern w:val="0"/>
                <w:sz w:val="18"/>
                <w:szCs w:val="18"/>
              </w:rPr>
            </w:pPr>
            <w:r>
              <w:rPr>
                <w:rFonts w:hint="eastAsia" w:ascii="仿宋" w:hAnsi="仿宋" w:eastAsia="仿宋" w:cs="宋体"/>
                <w:kern w:val="0"/>
                <w:sz w:val="18"/>
                <w:szCs w:val="18"/>
              </w:rPr>
              <w:t>决策</w:t>
            </w:r>
            <w:r>
              <w:rPr>
                <w:rFonts w:hint="eastAsia" w:ascii="仿宋" w:hAnsi="仿宋" w:eastAsia="仿宋" w:cs="宋体"/>
                <w:kern w:val="0"/>
                <w:sz w:val="18"/>
                <w:szCs w:val="18"/>
              </w:rPr>
              <w:br w:type="textWrapping"/>
            </w:r>
            <w:r>
              <w:rPr>
                <w:rFonts w:hint="eastAsia" w:ascii="仿宋" w:hAnsi="仿宋" w:eastAsia="仿宋" w:cs="宋体"/>
                <w:kern w:val="0"/>
                <w:sz w:val="18"/>
                <w:szCs w:val="18"/>
              </w:rPr>
              <w:t>（12分）</w:t>
            </w:r>
          </w:p>
        </w:tc>
        <w:tc>
          <w:tcPr>
            <w:tcW w:w="1060" w:type="dxa"/>
            <w:vMerge w:val="restart"/>
            <w:shd w:val="clear" w:color="auto" w:fill="auto"/>
            <w:vAlign w:val="center"/>
          </w:tcPr>
          <w:p w14:paraId="060DDD16">
            <w:pPr>
              <w:widowControl/>
              <w:jc w:val="center"/>
              <w:rPr>
                <w:rFonts w:ascii="仿宋" w:hAnsi="仿宋" w:eastAsia="仿宋" w:cs="宋体"/>
                <w:kern w:val="0"/>
                <w:sz w:val="18"/>
                <w:szCs w:val="18"/>
              </w:rPr>
            </w:pPr>
            <w:r>
              <w:rPr>
                <w:rFonts w:hint="eastAsia" w:ascii="仿宋" w:hAnsi="仿宋" w:eastAsia="仿宋" w:cs="宋体"/>
                <w:kern w:val="0"/>
                <w:sz w:val="18"/>
                <w:szCs w:val="18"/>
              </w:rPr>
              <w:t>项目立项</w:t>
            </w:r>
            <w:r>
              <w:rPr>
                <w:rFonts w:hint="eastAsia" w:ascii="仿宋" w:hAnsi="仿宋" w:eastAsia="仿宋" w:cs="宋体"/>
                <w:kern w:val="0"/>
                <w:sz w:val="18"/>
                <w:szCs w:val="18"/>
              </w:rPr>
              <w:br w:type="textWrapping"/>
            </w:r>
            <w:r>
              <w:rPr>
                <w:rFonts w:hint="eastAsia" w:ascii="仿宋" w:hAnsi="仿宋" w:eastAsia="仿宋" w:cs="宋体"/>
                <w:kern w:val="0"/>
                <w:sz w:val="18"/>
                <w:szCs w:val="18"/>
              </w:rPr>
              <w:t>（4分）</w:t>
            </w:r>
          </w:p>
        </w:tc>
        <w:tc>
          <w:tcPr>
            <w:tcW w:w="2175" w:type="dxa"/>
            <w:vMerge w:val="restart"/>
            <w:shd w:val="clear" w:color="auto" w:fill="auto"/>
            <w:vAlign w:val="center"/>
          </w:tcPr>
          <w:p w14:paraId="01DEABCB">
            <w:pPr>
              <w:widowControl/>
              <w:jc w:val="left"/>
              <w:rPr>
                <w:rFonts w:ascii="仿宋" w:hAnsi="仿宋" w:eastAsia="仿宋" w:cs="宋体"/>
                <w:kern w:val="0"/>
                <w:sz w:val="18"/>
                <w:szCs w:val="18"/>
              </w:rPr>
            </w:pPr>
            <w:r>
              <w:rPr>
                <w:rFonts w:hint="eastAsia" w:ascii="仿宋" w:hAnsi="仿宋" w:eastAsia="仿宋" w:cs="宋体"/>
                <w:kern w:val="0"/>
                <w:sz w:val="18"/>
                <w:szCs w:val="18"/>
              </w:rPr>
              <w:t>立项依据充分性（2分）</w:t>
            </w:r>
          </w:p>
        </w:tc>
        <w:tc>
          <w:tcPr>
            <w:tcW w:w="3985" w:type="dxa"/>
            <w:shd w:val="clear" w:color="auto" w:fill="auto"/>
            <w:vAlign w:val="center"/>
          </w:tcPr>
          <w:p w14:paraId="63DA68EB">
            <w:pPr>
              <w:widowControl/>
              <w:jc w:val="left"/>
              <w:rPr>
                <w:rFonts w:ascii="仿宋" w:hAnsi="仿宋" w:eastAsia="仿宋" w:cs="宋体"/>
                <w:kern w:val="0"/>
                <w:sz w:val="18"/>
                <w:szCs w:val="18"/>
              </w:rPr>
            </w:pPr>
            <w:r>
              <w:rPr>
                <w:rFonts w:hint="eastAsia" w:ascii="仿宋" w:hAnsi="仿宋" w:eastAsia="仿宋" w:cs="宋体"/>
                <w:kern w:val="0"/>
                <w:sz w:val="18"/>
                <w:szCs w:val="18"/>
              </w:rPr>
              <w:t>①  项目立项没有依据不得分，计0分。</w:t>
            </w:r>
          </w:p>
        </w:tc>
        <w:tc>
          <w:tcPr>
            <w:tcW w:w="1060" w:type="dxa"/>
            <w:vMerge w:val="restart"/>
            <w:shd w:val="clear" w:color="auto" w:fill="auto"/>
            <w:vAlign w:val="center"/>
          </w:tcPr>
          <w:p w14:paraId="7C2BB887">
            <w:pPr>
              <w:widowControl/>
              <w:jc w:val="center"/>
              <w:rPr>
                <w:rFonts w:ascii="仿宋" w:hAnsi="仿宋" w:eastAsia="仿宋" w:cs="宋体"/>
                <w:kern w:val="0"/>
                <w:sz w:val="18"/>
                <w:szCs w:val="18"/>
              </w:rPr>
            </w:pPr>
            <w:r>
              <w:rPr>
                <w:rFonts w:hint="eastAsia" w:ascii="仿宋" w:hAnsi="仿宋" w:eastAsia="仿宋" w:cs="宋体"/>
                <w:kern w:val="0"/>
                <w:sz w:val="18"/>
                <w:szCs w:val="18"/>
              </w:rPr>
              <w:t>2</w:t>
            </w:r>
          </w:p>
        </w:tc>
      </w:tr>
      <w:tr w14:paraId="256180F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jc w:val="center"/>
        </w:trPr>
        <w:tc>
          <w:tcPr>
            <w:tcW w:w="1060" w:type="dxa"/>
            <w:vMerge w:val="continue"/>
            <w:shd w:val="clear" w:color="auto" w:fill="auto"/>
            <w:vAlign w:val="center"/>
          </w:tcPr>
          <w:p w14:paraId="78824CAD">
            <w:pPr>
              <w:widowControl/>
              <w:jc w:val="left"/>
              <w:rPr>
                <w:rFonts w:ascii="仿宋" w:hAnsi="仿宋" w:eastAsia="仿宋" w:cs="宋体"/>
                <w:kern w:val="0"/>
                <w:sz w:val="18"/>
                <w:szCs w:val="18"/>
              </w:rPr>
            </w:pPr>
          </w:p>
        </w:tc>
        <w:tc>
          <w:tcPr>
            <w:tcW w:w="1060" w:type="dxa"/>
            <w:vMerge w:val="continue"/>
            <w:shd w:val="clear" w:color="auto" w:fill="auto"/>
            <w:vAlign w:val="center"/>
          </w:tcPr>
          <w:p w14:paraId="74C67749">
            <w:pPr>
              <w:widowControl/>
              <w:jc w:val="left"/>
              <w:rPr>
                <w:rFonts w:ascii="仿宋" w:hAnsi="仿宋" w:eastAsia="仿宋" w:cs="宋体"/>
                <w:kern w:val="0"/>
                <w:sz w:val="18"/>
                <w:szCs w:val="18"/>
              </w:rPr>
            </w:pPr>
          </w:p>
        </w:tc>
        <w:tc>
          <w:tcPr>
            <w:tcW w:w="2175" w:type="dxa"/>
            <w:vMerge w:val="continue"/>
            <w:shd w:val="clear" w:color="auto" w:fill="auto"/>
            <w:vAlign w:val="center"/>
          </w:tcPr>
          <w:p w14:paraId="125E5850">
            <w:pPr>
              <w:widowControl/>
              <w:jc w:val="left"/>
              <w:rPr>
                <w:rFonts w:ascii="仿宋" w:hAnsi="仿宋" w:eastAsia="仿宋" w:cs="宋体"/>
                <w:kern w:val="0"/>
                <w:sz w:val="18"/>
                <w:szCs w:val="18"/>
              </w:rPr>
            </w:pPr>
          </w:p>
        </w:tc>
        <w:tc>
          <w:tcPr>
            <w:tcW w:w="3985" w:type="dxa"/>
            <w:shd w:val="clear" w:color="auto" w:fill="auto"/>
            <w:vAlign w:val="center"/>
          </w:tcPr>
          <w:p w14:paraId="31B64CB1">
            <w:pPr>
              <w:widowControl/>
              <w:jc w:val="left"/>
              <w:rPr>
                <w:rFonts w:ascii="仿宋" w:hAnsi="仿宋" w:eastAsia="仿宋" w:cs="宋体"/>
                <w:kern w:val="0"/>
                <w:sz w:val="18"/>
                <w:szCs w:val="18"/>
              </w:rPr>
            </w:pPr>
            <w:r>
              <w:rPr>
                <w:rFonts w:hint="eastAsia" w:ascii="仿宋" w:hAnsi="仿宋" w:eastAsia="仿宋" w:cs="宋体"/>
                <w:kern w:val="0"/>
                <w:sz w:val="18"/>
                <w:szCs w:val="18"/>
              </w:rPr>
              <w:t>②  项目立项有依据，但不充分，计1分。</w:t>
            </w:r>
          </w:p>
        </w:tc>
        <w:tc>
          <w:tcPr>
            <w:tcW w:w="1060" w:type="dxa"/>
            <w:vMerge w:val="continue"/>
            <w:shd w:val="clear" w:color="auto" w:fill="auto"/>
            <w:vAlign w:val="center"/>
          </w:tcPr>
          <w:p w14:paraId="49FB3892">
            <w:pPr>
              <w:widowControl/>
              <w:jc w:val="left"/>
              <w:rPr>
                <w:rFonts w:ascii="仿宋" w:hAnsi="仿宋" w:eastAsia="仿宋" w:cs="宋体"/>
                <w:kern w:val="0"/>
                <w:sz w:val="18"/>
                <w:szCs w:val="18"/>
              </w:rPr>
            </w:pPr>
          </w:p>
        </w:tc>
      </w:tr>
      <w:tr w14:paraId="318CB41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69" w:hRule="atLeast"/>
          <w:jc w:val="center"/>
        </w:trPr>
        <w:tc>
          <w:tcPr>
            <w:tcW w:w="1060" w:type="dxa"/>
            <w:vMerge w:val="continue"/>
            <w:shd w:val="clear" w:color="auto" w:fill="auto"/>
            <w:vAlign w:val="center"/>
          </w:tcPr>
          <w:p w14:paraId="3C17B01B">
            <w:pPr>
              <w:widowControl/>
              <w:jc w:val="left"/>
              <w:rPr>
                <w:rFonts w:ascii="仿宋" w:hAnsi="仿宋" w:eastAsia="仿宋" w:cs="宋体"/>
                <w:kern w:val="0"/>
                <w:sz w:val="18"/>
                <w:szCs w:val="18"/>
              </w:rPr>
            </w:pPr>
          </w:p>
        </w:tc>
        <w:tc>
          <w:tcPr>
            <w:tcW w:w="1060" w:type="dxa"/>
            <w:vMerge w:val="continue"/>
            <w:shd w:val="clear" w:color="auto" w:fill="auto"/>
            <w:vAlign w:val="center"/>
          </w:tcPr>
          <w:p w14:paraId="2C1290BF">
            <w:pPr>
              <w:widowControl/>
              <w:jc w:val="left"/>
              <w:rPr>
                <w:rFonts w:ascii="仿宋" w:hAnsi="仿宋" w:eastAsia="仿宋" w:cs="宋体"/>
                <w:kern w:val="0"/>
                <w:sz w:val="18"/>
                <w:szCs w:val="18"/>
              </w:rPr>
            </w:pPr>
          </w:p>
        </w:tc>
        <w:tc>
          <w:tcPr>
            <w:tcW w:w="2175" w:type="dxa"/>
            <w:vMerge w:val="continue"/>
            <w:shd w:val="clear" w:color="auto" w:fill="auto"/>
            <w:vAlign w:val="center"/>
          </w:tcPr>
          <w:p w14:paraId="7A58CAA3">
            <w:pPr>
              <w:widowControl/>
              <w:jc w:val="left"/>
              <w:rPr>
                <w:rFonts w:ascii="仿宋" w:hAnsi="仿宋" w:eastAsia="仿宋" w:cs="宋体"/>
                <w:kern w:val="0"/>
                <w:sz w:val="18"/>
                <w:szCs w:val="18"/>
              </w:rPr>
            </w:pPr>
          </w:p>
        </w:tc>
        <w:tc>
          <w:tcPr>
            <w:tcW w:w="3985" w:type="dxa"/>
            <w:shd w:val="clear" w:color="auto" w:fill="auto"/>
            <w:vAlign w:val="center"/>
          </w:tcPr>
          <w:p w14:paraId="77833A8F">
            <w:pPr>
              <w:widowControl/>
              <w:jc w:val="left"/>
              <w:rPr>
                <w:rFonts w:ascii="仿宋" w:hAnsi="仿宋" w:eastAsia="仿宋" w:cs="宋体"/>
                <w:kern w:val="0"/>
                <w:sz w:val="18"/>
                <w:szCs w:val="18"/>
              </w:rPr>
            </w:pPr>
            <w:r>
              <w:rPr>
                <w:rFonts w:hint="eastAsia" w:ascii="仿宋" w:hAnsi="仿宋" w:eastAsia="仿宋" w:cs="宋体"/>
                <w:kern w:val="0"/>
                <w:sz w:val="18"/>
                <w:szCs w:val="18"/>
              </w:rPr>
              <w:t>③  项目立项有充分的法律、法规、政策或经济社会发展规划为依据，计2分。</w:t>
            </w:r>
          </w:p>
        </w:tc>
        <w:tc>
          <w:tcPr>
            <w:tcW w:w="1060" w:type="dxa"/>
            <w:vMerge w:val="continue"/>
            <w:shd w:val="clear" w:color="auto" w:fill="auto"/>
            <w:vAlign w:val="center"/>
          </w:tcPr>
          <w:p w14:paraId="2C596B28">
            <w:pPr>
              <w:widowControl/>
              <w:jc w:val="left"/>
              <w:rPr>
                <w:rFonts w:ascii="仿宋" w:hAnsi="仿宋" w:eastAsia="仿宋" w:cs="宋体"/>
                <w:kern w:val="0"/>
                <w:sz w:val="18"/>
                <w:szCs w:val="18"/>
              </w:rPr>
            </w:pPr>
          </w:p>
        </w:tc>
      </w:tr>
      <w:tr w14:paraId="34979507">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07" w:hRule="atLeast"/>
          <w:jc w:val="center"/>
        </w:trPr>
        <w:tc>
          <w:tcPr>
            <w:tcW w:w="1060" w:type="dxa"/>
            <w:vMerge w:val="continue"/>
            <w:shd w:val="clear" w:color="auto" w:fill="auto"/>
            <w:vAlign w:val="center"/>
          </w:tcPr>
          <w:p w14:paraId="5610DFDC">
            <w:pPr>
              <w:widowControl/>
              <w:jc w:val="left"/>
              <w:rPr>
                <w:rFonts w:ascii="仿宋" w:hAnsi="仿宋" w:eastAsia="仿宋" w:cs="宋体"/>
                <w:kern w:val="0"/>
                <w:sz w:val="18"/>
                <w:szCs w:val="18"/>
              </w:rPr>
            </w:pPr>
          </w:p>
        </w:tc>
        <w:tc>
          <w:tcPr>
            <w:tcW w:w="1060" w:type="dxa"/>
            <w:vMerge w:val="continue"/>
            <w:shd w:val="clear" w:color="auto" w:fill="auto"/>
            <w:vAlign w:val="center"/>
          </w:tcPr>
          <w:p w14:paraId="67E7BA55">
            <w:pPr>
              <w:widowControl/>
              <w:jc w:val="left"/>
              <w:rPr>
                <w:rFonts w:ascii="仿宋" w:hAnsi="仿宋" w:eastAsia="仿宋" w:cs="宋体"/>
                <w:kern w:val="0"/>
                <w:sz w:val="18"/>
                <w:szCs w:val="18"/>
              </w:rPr>
            </w:pPr>
          </w:p>
        </w:tc>
        <w:tc>
          <w:tcPr>
            <w:tcW w:w="2175" w:type="dxa"/>
            <w:vMerge w:val="restart"/>
            <w:shd w:val="clear" w:color="auto" w:fill="auto"/>
            <w:vAlign w:val="center"/>
          </w:tcPr>
          <w:p w14:paraId="7D059F2C">
            <w:pPr>
              <w:widowControl/>
              <w:jc w:val="left"/>
              <w:rPr>
                <w:rFonts w:ascii="仿宋" w:hAnsi="仿宋" w:eastAsia="仿宋" w:cs="宋体"/>
                <w:kern w:val="0"/>
                <w:sz w:val="18"/>
                <w:szCs w:val="18"/>
              </w:rPr>
            </w:pPr>
            <w:r>
              <w:rPr>
                <w:rFonts w:hint="eastAsia" w:ascii="仿宋" w:hAnsi="仿宋" w:eastAsia="仿宋" w:cs="宋体"/>
                <w:kern w:val="0"/>
                <w:sz w:val="18"/>
                <w:szCs w:val="18"/>
              </w:rPr>
              <w:t>立项程序规范性（2分）</w:t>
            </w:r>
          </w:p>
        </w:tc>
        <w:tc>
          <w:tcPr>
            <w:tcW w:w="3985" w:type="dxa"/>
            <w:shd w:val="clear" w:color="auto" w:fill="auto"/>
            <w:vAlign w:val="center"/>
          </w:tcPr>
          <w:p w14:paraId="25B16969">
            <w:pPr>
              <w:rPr>
                <w:rFonts w:ascii="仿宋" w:hAnsi="仿宋" w:eastAsia="仿宋" w:cs="宋体"/>
                <w:sz w:val="18"/>
                <w:szCs w:val="18"/>
              </w:rPr>
            </w:pPr>
            <w:r>
              <w:rPr>
                <w:rFonts w:hint="eastAsia" w:ascii="仿宋" w:hAnsi="仿宋" w:eastAsia="仿宋"/>
                <w:sz w:val="18"/>
                <w:szCs w:val="18"/>
              </w:rPr>
              <w:t>①  有发展目标任务、资金预算计划，计1分。</w:t>
            </w:r>
          </w:p>
        </w:tc>
        <w:tc>
          <w:tcPr>
            <w:tcW w:w="1060" w:type="dxa"/>
            <w:vMerge w:val="restart"/>
            <w:shd w:val="clear" w:color="auto" w:fill="auto"/>
            <w:vAlign w:val="center"/>
          </w:tcPr>
          <w:p w14:paraId="0767B124">
            <w:pPr>
              <w:widowControl/>
              <w:jc w:val="center"/>
              <w:rPr>
                <w:rFonts w:ascii="仿宋" w:hAnsi="仿宋" w:eastAsia="仿宋" w:cs="宋体"/>
                <w:kern w:val="0"/>
                <w:sz w:val="18"/>
                <w:szCs w:val="18"/>
              </w:rPr>
            </w:pPr>
            <w:r>
              <w:rPr>
                <w:rFonts w:hint="eastAsia" w:ascii="仿宋" w:hAnsi="仿宋" w:eastAsia="仿宋" w:cs="宋体"/>
                <w:kern w:val="0"/>
                <w:sz w:val="18"/>
                <w:szCs w:val="18"/>
              </w:rPr>
              <w:t>2</w:t>
            </w:r>
          </w:p>
        </w:tc>
      </w:tr>
      <w:tr w14:paraId="141A4CDA">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26" w:hRule="atLeast"/>
          <w:jc w:val="center"/>
        </w:trPr>
        <w:tc>
          <w:tcPr>
            <w:tcW w:w="1060" w:type="dxa"/>
            <w:vMerge w:val="continue"/>
            <w:shd w:val="clear" w:color="auto" w:fill="auto"/>
            <w:vAlign w:val="center"/>
          </w:tcPr>
          <w:p w14:paraId="7E574154">
            <w:pPr>
              <w:widowControl/>
              <w:jc w:val="left"/>
              <w:rPr>
                <w:rFonts w:ascii="仿宋" w:hAnsi="仿宋" w:eastAsia="仿宋" w:cs="宋体"/>
                <w:kern w:val="0"/>
                <w:sz w:val="18"/>
                <w:szCs w:val="18"/>
              </w:rPr>
            </w:pPr>
          </w:p>
        </w:tc>
        <w:tc>
          <w:tcPr>
            <w:tcW w:w="1060" w:type="dxa"/>
            <w:vMerge w:val="continue"/>
            <w:shd w:val="clear" w:color="auto" w:fill="auto"/>
            <w:vAlign w:val="center"/>
          </w:tcPr>
          <w:p w14:paraId="42A0ADD7">
            <w:pPr>
              <w:widowControl/>
              <w:jc w:val="left"/>
              <w:rPr>
                <w:rFonts w:ascii="仿宋" w:hAnsi="仿宋" w:eastAsia="仿宋" w:cs="宋体"/>
                <w:kern w:val="0"/>
                <w:sz w:val="18"/>
                <w:szCs w:val="18"/>
              </w:rPr>
            </w:pPr>
          </w:p>
        </w:tc>
        <w:tc>
          <w:tcPr>
            <w:tcW w:w="2175" w:type="dxa"/>
            <w:vMerge w:val="continue"/>
            <w:shd w:val="clear" w:color="auto" w:fill="auto"/>
            <w:vAlign w:val="center"/>
          </w:tcPr>
          <w:p w14:paraId="3348BB1E">
            <w:pPr>
              <w:widowControl/>
              <w:jc w:val="left"/>
              <w:rPr>
                <w:rFonts w:ascii="仿宋" w:hAnsi="仿宋" w:eastAsia="仿宋" w:cs="宋体"/>
                <w:kern w:val="0"/>
                <w:sz w:val="18"/>
                <w:szCs w:val="18"/>
              </w:rPr>
            </w:pPr>
          </w:p>
        </w:tc>
        <w:tc>
          <w:tcPr>
            <w:tcW w:w="3985" w:type="dxa"/>
            <w:shd w:val="clear" w:color="auto" w:fill="auto"/>
            <w:vAlign w:val="center"/>
          </w:tcPr>
          <w:p w14:paraId="7E5145F8">
            <w:pPr>
              <w:rPr>
                <w:rFonts w:ascii="仿宋" w:hAnsi="仿宋" w:eastAsia="仿宋" w:cs="宋体"/>
                <w:sz w:val="18"/>
                <w:szCs w:val="18"/>
              </w:rPr>
            </w:pPr>
            <w:r>
              <w:rPr>
                <w:rFonts w:hint="eastAsia" w:ascii="仿宋" w:hAnsi="仿宋" w:eastAsia="仿宋"/>
                <w:sz w:val="18"/>
                <w:szCs w:val="18"/>
              </w:rPr>
              <w:t>②  资金预算计划，报市财政局审核，计1分。</w:t>
            </w:r>
          </w:p>
        </w:tc>
        <w:tc>
          <w:tcPr>
            <w:tcW w:w="1060" w:type="dxa"/>
            <w:vMerge w:val="continue"/>
            <w:shd w:val="clear" w:color="auto" w:fill="auto"/>
            <w:vAlign w:val="center"/>
          </w:tcPr>
          <w:p w14:paraId="502D6C3E">
            <w:pPr>
              <w:widowControl/>
              <w:jc w:val="left"/>
              <w:rPr>
                <w:rFonts w:ascii="仿宋" w:hAnsi="仿宋" w:eastAsia="仿宋" w:cs="宋体"/>
                <w:kern w:val="0"/>
                <w:sz w:val="18"/>
                <w:szCs w:val="18"/>
              </w:rPr>
            </w:pPr>
          </w:p>
        </w:tc>
      </w:tr>
      <w:tr w14:paraId="54E5493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jc w:val="center"/>
        </w:trPr>
        <w:tc>
          <w:tcPr>
            <w:tcW w:w="1060" w:type="dxa"/>
            <w:vMerge w:val="continue"/>
            <w:shd w:val="clear" w:color="auto" w:fill="auto"/>
            <w:vAlign w:val="center"/>
          </w:tcPr>
          <w:p w14:paraId="5BC6ED59">
            <w:pPr>
              <w:widowControl/>
              <w:jc w:val="left"/>
              <w:rPr>
                <w:rFonts w:ascii="仿宋" w:hAnsi="仿宋" w:eastAsia="仿宋" w:cs="宋体"/>
                <w:kern w:val="0"/>
                <w:sz w:val="18"/>
                <w:szCs w:val="18"/>
              </w:rPr>
            </w:pPr>
          </w:p>
        </w:tc>
        <w:tc>
          <w:tcPr>
            <w:tcW w:w="1060" w:type="dxa"/>
            <w:vMerge w:val="restart"/>
            <w:shd w:val="clear" w:color="auto" w:fill="auto"/>
            <w:vAlign w:val="center"/>
          </w:tcPr>
          <w:p w14:paraId="0ECDBFD6">
            <w:pPr>
              <w:widowControl/>
              <w:jc w:val="center"/>
              <w:rPr>
                <w:rFonts w:ascii="仿宋" w:hAnsi="仿宋" w:eastAsia="仿宋" w:cs="宋体"/>
                <w:kern w:val="0"/>
                <w:sz w:val="18"/>
                <w:szCs w:val="18"/>
              </w:rPr>
            </w:pPr>
            <w:r>
              <w:rPr>
                <w:rFonts w:hint="eastAsia" w:ascii="仿宋" w:hAnsi="仿宋" w:eastAsia="仿宋" w:cs="宋体"/>
                <w:kern w:val="0"/>
                <w:sz w:val="18"/>
                <w:szCs w:val="18"/>
              </w:rPr>
              <w:t>绩效目标</w:t>
            </w:r>
            <w:r>
              <w:rPr>
                <w:rFonts w:hint="eastAsia" w:ascii="仿宋" w:hAnsi="仿宋" w:eastAsia="仿宋" w:cs="宋体"/>
                <w:kern w:val="0"/>
                <w:sz w:val="18"/>
                <w:szCs w:val="18"/>
              </w:rPr>
              <w:br w:type="textWrapping"/>
            </w:r>
            <w:r>
              <w:rPr>
                <w:rFonts w:hint="eastAsia" w:ascii="仿宋" w:hAnsi="仿宋" w:eastAsia="仿宋" w:cs="宋体"/>
                <w:kern w:val="0"/>
                <w:sz w:val="18"/>
                <w:szCs w:val="18"/>
              </w:rPr>
              <w:t>（8分）</w:t>
            </w:r>
          </w:p>
        </w:tc>
        <w:tc>
          <w:tcPr>
            <w:tcW w:w="2175" w:type="dxa"/>
            <w:vMerge w:val="restart"/>
            <w:shd w:val="clear" w:color="auto" w:fill="auto"/>
            <w:vAlign w:val="center"/>
          </w:tcPr>
          <w:p w14:paraId="59948074">
            <w:pPr>
              <w:widowControl/>
              <w:jc w:val="left"/>
              <w:rPr>
                <w:rFonts w:ascii="仿宋" w:hAnsi="仿宋" w:eastAsia="仿宋" w:cs="宋体"/>
                <w:kern w:val="0"/>
                <w:sz w:val="18"/>
                <w:szCs w:val="18"/>
              </w:rPr>
            </w:pPr>
            <w:r>
              <w:rPr>
                <w:rFonts w:hint="eastAsia" w:ascii="仿宋" w:hAnsi="仿宋" w:eastAsia="仿宋" w:cs="宋体"/>
                <w:kern w:val="0"/>
                <w:sz w:val="18"/>
                <w:szCs w:val="18"/>
              </w:rPr>
              <w:t>绩效目标合理性（4分）</w:t>
            </w:r>
          </w:p>
        </w:tc>
        <w:tc>
          <w:tcPr>
            <w:tcW w:w="3985" w:type="dxa"/>
            <w:shd w:val="clear" w:color="auto" w:fill="auto"/>
            <w:vAlign w:val="center"/>
          </w:tcPr>
          <w:p w14:paraId="2A0888EC">
            <w:pPr>
              <w:widowControl/>
              <w:jc w:val="left"/>
              <w:rPr>
                <w:rFonts w:ascii="仿宋" w:hAnsi="仿宋" w:eastAsia="仿宋" w:cs="宋体"/>
                <w:kern w:val="0"/>
                <w:sz w:val="18"/>
                <w:szCs w:val="18"/>
              </w:rPr>
            </w:pPr>
            <w:r>
              <w:rPr>
                <w:rFonts w:hint="eastAsia" w:ascii="仿宋" w:hAnsi="仿宋" w:eastAsia="仿宋" w:cs="宋体"/>
                <w:kern w:val="0"/>
                <w:sz w:val="18"/>
                <w:szCs w:val="18"/>
              </w:rPr>
              <w:t>①  没有绩效目标不得分，计0分；</w:t>
            </w:r>
          </w:p>
        </w:tc>
        <w:tc>
          <w:tcPr>
            <w:tcW w:w="1060" w:type="dxa"/>
            <w:vMerge w:val="restart"/>
            <w:shd w:val="clear" w:color="auto" w:fill="auto"/>
            <w:noWrap/>
            <w:vAlign w:val="center"/>
          </w:tcPr>
          <w:p w14:paraId="298C34FE">
            <w:pPr>
              <w:widowControl/>
              <w:jc w:val="center"/>
              <w:rPr>
                <w:rFonts w:ascii="仿宋" w:hAnsi="仿宋" w:eastAsia="仿宋" w:cs="宋体"/>
                <w:kern w:val="0"/>
                <w:sz w:val="18"/>
                <w:szCs w:val="18"/>
              </w:rPr>
            </w:pPr>
            <w:r>
              <w:rPr>
                <w:rFonts w:hint="eastAsia" w:ascii="仿宋" w:hAnsi="仿宋" w:eastAsia="仿宋" w:cs="宋体"/>
                <w:kern w:val="0"/>
                <w:sz w:val="18"/>
                <w:szCs w:val="18"/>
              </w:rPr>
              <w:t>4</w:t>
            </w:r>
          </w:p>
        </w:tc>
      </w:tr>
      <w:tr w14:paraId="31A3972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jc w:val="center"/>
        </w:trPr>
        <w:tc>
          <w:tcPr>
            <w:tcW w:w="1060" w:type="dxa"/>
            <w:vMerge w:val="continue"/>
            <w:shd w:val="clear" w:color="auto" w:fill="auto"/>
            <w:vAlign w:val="center"/>
          </w:tcPr>
          <w:p w14:paraId="6971CA6F">
            <w:pPr>
              <w:widowControl/>
              <w:jc w:val="left"/>
              <w:rPr>
                <w:rFonts w:ascii="仿宋" w:hAnsi="仿宋" w:eastAsia="仿宋" w:cs="宋体"/>
                <w:kern w:val="0"/>
                <w:sz w:val="18"/>
                <w:szCs w:val="18"/>
              </w:rPr>
            </w:pPr>
          </w:p>
        </w:tc>
        <w:tc>
          <w:tcPr>
            <w:tcW w:w="1060" w:type="dxa"/>
            <w:vMerge w:val="continue"/>
            <w:shd w:val="clear" w:color="auto" w:fill="auto"/>
            <w:vAlign w:val="center"/>
          </w:tcPr>
          <w:p w14:paraId="08D1EDCA">
            <w:pPr>
              <w:widowControl/>
              <w:jc w:val="left"/>
              <w:rPr>
                <w:rFonts w:ascii="仿宋" w:hAnsi="仿宋" w:eastAsia="仿宋" w:cs="宋体"/>
                <w:kern w:val="0"/>
                <w:sz w:val="18"/>
                <w:szCs w:val="18"/>
              </w:rPr>
            </w:pPr>
          </w:p>
        </w:tc>
        <w:tc>
          <w:tcPr>
            <w:tcW w:w="2175" w:type="dxa"/>
            <w:vMerge w:val="continue"/>
            <w:shd w:val="clear" w:color="auto" w:fill="auto"/>
            <w:vAlign w:val="center"/>
          </w:tcPr>
          <w:p w14:paraId="17A928C3">
            <w:pPr>
              <w:widowControl/>
              <w:jc w:val="left"/>
              <w:rPr>
                <w:rFonts w:ascii="仿宋" w:hAnsi="仿宋" w:eastAsia="仿宋" w:cs="宋体"/>
                <w:kern w:val="0"/>
                <w:sz w:val="18"/>
                <w:szCs w:val="18"/>
              </w:rPr>
            </w:pPr>
          </w:p>
        </w:tc>
        <w:tc>
          <w:tcPr>
            <w:tcW w:w="3985" w:type="dxa"/>
            <w:shd w:val="clear" w:color="auto" w:fill="auto"/>
            <w:vAlign w:val="center"/>
          </w:tcPr>
          <w:p w14:paraId="6FF91F01">
            <w:pPr>
              <w:widowControl/>
              <w:jc w:val="left"/>
              <w:rPr>
                <w:rFonts w:ascii="仿宋" w:hAnsi="仿宋" w:eastAsia="仿宋" w:cs="宋体"/>
                <w:kern w:val="0"/>
                <w:sz w:val="18"/>
                <w:szCs w:val="18"/>
              </w:rPr>
            </w:pPr>
            <w:r>
              <w:rPr>
                <w:rFonts w:hint="eastAsia" w:ascii="仿宋" w:hAnsi="仿宋" w:eastAsia="仿宋" w:cs="宋体"/>
                <w:kern w:val="0"/>
                <w:sz w:val="18"/>
                <w:szCs w:val="18"/>
              </w:rPr>
              <w:t>②  绩效目标符合与政策紧密相关，计2分；</w:t>
            </w:r>
          </w:p>
        </w:tc>
        <w:tc>
          <w:tcPr>
            <w:tcW w:w="1060" w:type="dxa"/>
            <w:vMerge w:val="continue"/>
            <w:shd w:val="clear" w:color="auto" w:fill="auto"/>
            <w:vAlign w:val="center"/>
          </w:tcPr>
          <w:p w14:paraId="2FB5B496">
            <w:pPr>
              <w:widowControl/>
              <w:jc w:val="left"/>
              <w:rPr>
                <w:rFonts w:ascii="仿宋" w:hAnsi="仿宋" w:eastAsia="仿宋" w:cs="宋体"/>
                <w:kern w:val="0"/>
                <w:sz w:val="18"/>
                <w:szCs w:val="18"/>
              </w:rPr>
            </w:pPr>
          </w:p>
        </w:tc>
      </w:tr>
      <w:tr w14:paraId="16657E9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jc w:val="center"/>
        </w:trPr>
        <w:tc>
          <w:tcPr>
            <w:tcW w:w="1060" w:type="dxa"/>
            <w:vMerge w:val="continue"/>
            <w:shd w:val="clear" w:color="auto" w:fill="auto"/>
            <w:vAlign w:val="center"/>
          </w:tcPr>
          <w:p w14:paraId="3728F620">
            <w:pPr>
              <w:widowControl/>
              <w:jc w:val="left"/>
              <w:rPr>
                <w:rFonts w:ascii="仿宋" w:hAnsi="仿宋" w:eastAsia="仿宋" w:cs="宋体"/>
                <w:kern w:val="0"/>
                <w:sz w:val="18"/>
                <w:szCs w:val="18"/>
              </w:rPr>
            </w:pPr>
          </w:p>
        </w:tc>
        <w:tc>
          <w:tcPr>
            <w:tcW w:w="1060" w:type="dxa"/>
            <w:vMerge w:val="continue"/>
            <w:shd w:val="clear" w:color="auto" w:fill="auto"/>
            <w:vAlign w:val="center"/>
          </w:tcPr>
          <w:p w14:paraId="6A8659F7">
            <w:pPr>
              <w:widowControl/>
              <w:jc w:val="left"/>
              <w:rPr>
                <w:rFonts w:ascii="仿宋" w:hAnsi="仿宋" w:eastAsia="仿宋" w:cs="宋体"/>
                <w:kern w:val="0"/>
                <w:sz w:val="18"/>
                <w:szCs w:val="18"/>
              </w:rPr>
            </w:pPr>
          </w:p>
        </w:tc>
        <w:tc>
          <w:tcPr>
            <w:tcW w:w="2175" w:type="dxa"/>
            <w:vMerge w:val="continue"/>
            <w:shd w:val="clear" w:color="auto" w:fill="auto"/>
            <w:vAlign w:val="center"/>
          </w:tcPr>
          <w:p w14:paraId="3D80B2D2">
            <w:pPr>
              <w:widowControl/>
              <w:jc w:val="left"/>
              <w:rPr>
                <w:rFonts w:ascii="仿宋" w:hAnsi="仿宋" w:eastAsia="仿宋" w:cs="宋体"/>
                <w:kern w:val="0"/>
                <w:sz w:val="18"/>
                <w:szCs w:val="18"/>
              </w:rPr>
            </w:pPr>
          </w:p>
        </w:tc>
        <w:tc>
          <w:tcPr>
            <w:tcW w:w="3985" w:type="dxa"/>
            <w:shd w:val="clear" w:color="auto" w:fill="auto"/>
            <w:vAlign w:val="center"/>
          </w:tcPr>
          <w:p w14:paraId="16AF83CA">
            <w:pPr>
              <w:widowControl/>
              <w:jc w:val="left"/>
              <w:rPr>
                <w:rFonts w:ascii="仿宋" w:hAnsi="仿宋" w:eastAsia="仿宋" w:cs="宋体"/>
                <w:kern w:val="0"/>
                <w:sz w:val="18"/>
                <w:szCs w:val="18"/>
              </w:rPr>
            </w:pPr>
            <w:r>
              <w:rPr>
                <w:rFonts w:hint="eastAsia" w:ascii="仿宋" w:hAnsi="仿宋" w:eastAsia="仿宋" w:cs="宋体"/>
                <w:kern w:val="0"/>
                <w:sz w:val="18"/>
                <w:szCs w:val="18"/>
              </w:rPr>
              <w:t>③  绩效目标符合可实现性，计2分。</w:t>
            </w:r>
          </w:p>
        </w:tc>
        <w:tc>
          <w:tcPr>
            <w:tcW w:w="1060" w:type="dxa"/>
            <w:vMerge w:val="continue"/>
            <w:shd w:val="clear" w:color="auto" w:fill="auto"/>
            <w:vAlign w:val="center"/>
          </w:tcPr>
          <w:p w14:paraId="3A6C5EF5">
            <w:pPr>
              <w:widowControl/>
              <w:jc w:val="left"/>
              <w:rPr>
                <w:rFonts w:ascii="仿宋" w:hAnsi="仿宋" w:eastAsia="仿宋" w:cs="宋体"/>
                <w:kern w:val="0"/>
                <w:sz w:val="18"/>
                <w:szCs w:val="18"/>
              </w:rPr>
            </w:pPr>
          </w:p>
        </w:tc>
      </w:tr>
      <w:tr w14:paraId="65CC5CF2">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vMerge w:val="continue"/>
            <w:shd w:val="clear" w:color="auto" w:fill="auto"/>
            <w:vAlign w:val="center"/>
          </w:tcPr>
          <w:p w14:paraId="26E53141">
            <w:pPr>
              <w:widowControl/>
              <w:jc w:val="left"/>
              <w:rPr>
                <w:rFonts w:ascii="仿宋" w:hAnsi="仿宋" w:eastAsia="仿宋" w:cs="宋体"/>
                <w:kern w:val="0"/>
                <w:sz w:val="18"/>
                <w:szCs w:val="18"/>
              </w:rPr>
            </w:pPr>
          </w:p>
        </w:tc>
        <w:tc>
          <w:tcPr>
            <w:tcW w:w="1060" w:type="dxa"/>
            <w:vMerge w:val="continue"/>
            <w:shd w:val="clear" w:color="auto" w:fill="auto"/>
            <w:vAlign w:val="center"/>
          </w:tcPr>
          <w:p w14:paraId="2CD4CBDF">
            <w:pPr>
              <w:widowControl/>
              <w:jc w:val="left"/>
              <w:rPr>
                <w:rFonts w:ascii="仿宋" w:hAnsi="仿宋" w:eastAsia="仿宋" w:cs="宋体"/>
                <w:kern w:val="0"/>
                <w:sz w:val="18"/>
                <w:szCs w:val="18"/>
              </w:rPr>
            </w:pPr>
          </w:p>
        </w:tc>
        <w:tc>
          <w:tcPr>
            <w:tcW w:w="2175" w:type="dxa"/>
            <w:vMerge w:val="restart"/>
            <w:shd w:val="clear" w:color="auto" w:fill="auto"/>
            <w:vAlign w:val="center"/>
          </w:tcPr>
          <w:p w14:paraId="1976130C">
            <w:pPr>
              <w:widowControl/>
              <w:jc w:val="left"/>
              <w:rPr>
                <w:rFonts w:ascii="仿宋" w:hAnsi="仿宋" w:eastAsia="仿宋" w:cs="宋体"/>
                <w:kern w:val="0"/>
                <w:sz w:val="18"/>
                <w:szCs w:val="18"/>
              </w:rPr>
            </w:pPr>
            <w:r>
              <w:rPr>
                <w:rFonts w:hint="eastAsia" w:ascii="仿宋" w:hAnsi="仿宋" w:eastAsia="仿宋" w:cs="宋体"/>
                <w:kern w:val="0"/>
                <w:sz w:val="18"/>
                <w:szCs w:val="18"/>
              </w:rPr>
              <w:t>绩效指标明确性（4分）</w:t>
            </w:r>
          </w:p>
        </w:tc>
        <w:tc>
          <w:tcPr>
            <w:tcW w:w="3985" w:type="dxa"/>
            <w:shd w:val="clear" w:color="auto" w:fill="auto"/>
            <w:vAlign w:val="center"/>
          </w:tcPr>
          <w:p w14:paraId="29642E62">
            <w:pPr>
              <w:widowControl/>
              <w:jc w:val="left"/>
              <w:rPr>
                <w:rFonts w:ascii="仿宋" w:hAnsi="仿宋" w:eastAsia="仿宋" w:cs="宋体"/>
                <w:kern w:val="0"/>
                <w:sz w:val="18"/>
                <w:szCs w:val="18"/>
              </w:rPr>
            </w:pPr>
            <w:r>
              <w:rPr>
                <w:rFonts w:hint="eastAsia" w:ascii="仿宋" w:hAnsi="仿宋" w:eastAsia="仿宋" w:cs="宋体"/>
                <w:kern w:val="0"/>
                <w:sz w:val="18"/>
                <w:szCs w:val="18"/>
              </w:rPr>
              <w:t>①  绩效指标符合细化量化，通过清晰、可衡量的指标值予以体现，计2分；</w:t>
            </w:r>
          </w:p>
        </w:tc>
        <w:tc>
          <w:tcPr>
            <w:tcW w:w="1060" w:type="dxa"/>
            <w:vMerge w:val="restart"/>
            <w:shd w:val="clear" w:color="auto" w:fill="auto"/>
            <w:noWrap/>
            <w:vAlign w:val="center"/>
          </w:tcPr>
          <w:p w14:paraId="6E0B5E89">
            <w:pPr>
              <w:widowControl/>
              <w:jc w:val="center"/>
              <w:rPr>
                <w:rFonts w:ascii="仿宋" w:hAnsi="仿宋" w:eastAsia="仿宋" w:cs="宋体"/>
                <w:kern w:val="0"/>
                <w:sz w:val="18"/>
                <w:szCs w:val="18"/>
              </w:rPr>
            </w:pPr>
            <w:r>
              <w:rPr>
                <w:rFonts w:hint="eastAsia" w:ascii="仿宋" w:hAnsi="仿宋" w:eastAsia="仿宋" w:cs="宋体"/>
                <w:kern w:val="0"/>
                <w:sz w:val="18"/>
                <w:szCs w:val="18"/>
              </w:rPr>
              <w:t>4</w:t>
            </w:r>
          </w:p>
        </w:tc>
      </w:tr>
      <w:tr w14:paraId="11C6215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jc w:val="center"/>
        </w:trPr>
        <w:tc>
          <w:tcPr>
            <w:tcW w:w="1060" w:type="dxa"/>
            <w:vMerge w:val="continue"/>
            <w:shd w:val="clear" w:color="auto" w:fill="auto"/>
            <w:vAlign w:val="center"/>
          </w:tcPr>
          <w:p w14:paraId="7B4CA8E8">
            <w:pPr>
              <w:widowControl/>
              <w:jc w:val="left"/>
              <w:rPr>
                <w:rFonts w:ascii="仿宋" w:hAnsi="仿宋" w:eastAsia="仿宋" w:cs="宋体"/>
                <w:kern w:val="0"/>
                <w:sz w:val="18"/>
                <w:szCs w:val="18"/>
              </w:rPr>
            </w:pPr>
          </w:p>
        </w:tc>
        <w:tc>
          <w:tcPr>
            <w:tcW w:w="1060" w:type="dxa"/>
            <w:vMerge w:val="continue"/>
            <w:shd w:val="clear" w:color="auto" w:fill="auto"/>
            <w:vAlign w:val="center"/>
          </w:tcPr>
          <w:p w14:paraId="40D716C2">
            <w:pPr>
              <w:widowControl/>
              <w:jc w:val="left"/>
              <w:rPr>
                <w:rFonts w:ascii="仿宋" w:hAnsi="仿宋" w:eastAsia="仿宋" w:cs="宋体"/>
                <w:kern w:val="0"/>
                <w:sz w:val="18"/>
                <w:szCs w:val="18"/>
              </w:rPr>
            </w:pPr>
          </w:p>
        </w:tc>
        <w:tc>
          <w:tcPr>
            <w:tcW w:w="2175" w:type="dxa"/>
            <w:vMerge w:val="continue"/>
            <w:shd w:val="clear" w:color="auto" w:fill="auto"/>
            <w:vAlign w:val="center"/>
          </w:tcPr>
          <w:p w14:paraId="4E227489">
            <w:pPr>
              <w:widowControl/>
              <w:jc w:val="left"/>
              <w:rPr>
                <w:rFonts w:ascii="仿宋" w:hAnsi="仿宋" w:eastAsia="仿宋" w:cs="宋体"/>
                <w:kern w:val="0"/>
                <w:sz w:val="18"/>
                <w:szCs w:val="18"/>
              </w:rPr>
            </w:pPr>
          </w:p>
        </w:tc>
        <w:tc>
          <w:tcPr>
            <w:tcW w:w="3985" w:type="dxa"/>
            <w:shd w:val="clear" w:color="auto" w:fill="auto"/>
            <w:vAlign w:val="center"/>
          </w:tcPr>
          <w:p w14:paraId="33D42090">
            <w:pPr>
              <w:widowControl/>
              <w:jc w:val="left"/>
              <w:rPr>
                <w:rFonts w:ascii="仿宋" w:hAnsi="仿宋" w:eastAsia="仿宋" w:cs="宋体"/>
                <w:kern w:val="0"/>
                <w:sz w:val="18"/>
                <w:szCs w:val="18"/>
              </w:rPr>
            </w:pPr>
            <w:r>
              <w:rPr>
                <w:rFonts w:hint="eastAsia" w:ascii="仿宋" w:hAnsi="仿宋" w:eastAsia="仿宋" w:cs="宋体"/>
                <w:kern w:val="0"/>
                <w:sz w:val="18"/>
                <w:szCs w:val="18"/>
              </w:rPr>
              <w:t>②  绩效指标符合具有时效性，计2分。</w:t>
            </w:r>
          </w:p>
        </w:tc>
        <w:tc>
          <w:tcPr>
            <w:tcW w:w="1060" w:type="dxa"/>
            <w:vMerge w:val="continue"/>
            <w:shd w:val="clear" w:color="auto" w:fill="auto"/>
            <w:vAlign w:val="center"/>
          </w:tcPr>
          <w:p w14:paraId="3F77257F">
            <w:pPr>
              <w:widowControl/>
              <w:jc w:val="left"/>
              <w:rPr>
                <w:rFonts w:ascii="仿宋" w:hAnsi="仿宋" w:eastAsia="仿宋" w:cs="宋体"/>
                <w:kern w:val="0"/>
                <w:sz w:val="18"/>
                <w:szCs w:val="18"/>
              </w:rPr>
            </w:pPr>
          </w:p>
        </w:tc>
      </w:tr>
      <w:tr w14:paraId="3110484E">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04" w:hRule="atLeast"/>
          <w:jc w:val="center"/>
        </w:trPr>
        <w:tc>
          <w:tcPr>
            <w:tcW w:w="1060" w:type="dxa"/>
            <w:shd w:val="clear" w:color="auto" w:fill="auto"/>
            <w:vAlign w:val="center"/>
          </w:tcPr>
          <w:p w14:paraId="6EEAAD9C">
            <w:pPr>
              <w:widowControl/>
              <w:jc w:val="center"/>
              <w:rPr>
                <w:rFonts w:ascii="仿宋" w:hAnsi="仿宋" w:eastAsia="仿宋" w:cs="宋体"/>
                <w:b/>
                <w:kern w:val="0"/>
                <w:sz w:val="18"/>
                <w:szCs w:val="18"/>
              </w:rPr>
            </w:pPr>
            <w:r>
              <w:rPr>
                <w:rFonts w:ascii="仿宋" w:hAnsi="仿宋" w:eastAsia="仿宋" w:cs="宋体"/>
                <w:b/>
                <w:kern w:val="0"/>
                <w:sz w:val="18"/>
                <w:szCs w:val="18"/>
              </w:rPr>
              <w:t>小计</w:t>
            </w:r>
          </w:p>
        </w:tc>
        <w:tc>
          <w:tcPr>
            <w:tcW w:w="1060" w:type="dxa"/>
            <w:shd w:val="clear" w:color="auto" w:fill="auto"/>
            <w:vAlign w:val="center"/>
          </w:tcPr>
          <w:p w14:paraId="2622A5D8">
            <w:pPr>
              <w:widowControl/>
              <w:jc w:val="center"/>
              <w:rPr>
                <w:rFonts w:ascii="仿宋" w:hAnsi="仿宋" w:eastAsia="仿宋" w:cs="宋体"/>
                <w:b/>
                <w:kern w:val="0"/>
                <w:sz w:val="18"/>
                <w:szCs w:val="18"/>
              </w:rPr>
            </w:pPr>
            <w:r>
              <w:rPr>
                <w:rFonts w:hint="eastAsia" w:ascii="仿宋" w:hAnsi="仿宋" w:eastAsia="仿宋" w:cs="宋体"/>
                <w:b/>
                <w:kern w:val="0"/>
                <w:sz w:val="18"/>
                <w:szCs w:val="18"/>
              </w:rPr>
              <w:t>12</w:t>
            </w:r>
          </w:p>
        </w:tc>
        <w:tc>
          <w:tcPr>
            <w:tcW w:w="2175" w:type="dxa"/>
            <w:shd w:val="clear" w:color="auto" w:fill="auto"/>
            <w:vAlign w:val="center"/>
          </w:tcPr>
          <w:p w14:paraId="3E692FDD">
            <w:pPr>
              <w:widowControl/>
              <w:jc w:val="center"/>
              <w:rPr>
                <w:rFonts w:ascii="仿宋" w:hAnsi="仿宋" w:eastAsia="仿宋" w:cs="宋体"/>
                <w:b/>
                <w:kern w:val="0"/>
                <w:sz w:val="18"/>
                <w:szCs w:val="18"/>
              </w:rPr>
            </w:pPr>
            <w:r>
              <w:rPr>
                <w:rFonts w:hint="eastAsia" w:ascii="仿宋" w:hAnsi="仿宋" w:eastAsia="仿宋" w:cs="宋体"/>
                <w:b/>
                <w:kern w:val="0"/>
                <w:sz w:val="18"/>
                <w:szCs w:val="18"/>
              </w:rPr>
              <w:t>12</w:t>
            </w:r>
          </w:p>
        </w:tc>
        <w:tc>
          <w:tcPr>
            <w:tcW w:w="3985" w:type="dxa"/>
            <w:shd w:val="clear" w:color="auto" w:fill="auto"/>
            <w:vAlign w:val="center"/>
          </w:tcPr>
          <w:p w14:paraId="2154E1C5">
            <w:pPr>
              <w:widowControl/>
              <w:jc w:val="center"/>
              <w:rPr>
                <w:rFonts w:ascii="仿宋" w:hAnsi="仿宋" w:eastAsia="仿宋" w:cs="宋体"/>
                <w:b/>
                <w:kern w:val="0"/>
                <w:sz w:val="18"/>
                <w:szCs w:val="18"/>
              </w:rPr>
            </w:pPr>
            <w:r>
              <w:rPr>
                <w:rFonts w:hint="eastAsia" w:ascii="仿宋" w:hAnsi="仿宋" w:eastAsia="仿宋" w:cs="宋体"/>
                <w:b/>
                <w:kern w:val="0"/>
                <w:sz w:val="18"/>
                <w:szCs w:val="18"/>
              </w:rPr>
              <w:t>——</w:t>
            </w:r>
          </w:p>
        </w:tc>
        <w:tc>
          <w:tcPr>
            <w:tcW w:w="1060" w:type="dxa"/>
            <w:shd w:val="clear" w:color="auto" w:fill="auto"/>
            <w:vAlign w:val="center"/>
          </w:tcPr>
          <w:p w14:paraId="421CF133">
            <w:pPr>
              <w:widowControl/>
              <w:jc w:val="center"/>
              <w:rPr>
                <w:rFonts w:ascii="仿宋" w:hAnsi="仿宋" w:eastAsia="仿宋" w:cs="宋体"/>
                <w:b/>
                <w:kern w:val="0"/>
                <w:sz w:val="18"/>
                <w:szCs w:val="18"/>
              </w:rPr>
            </w:pPr>
            <w:r>
              <w:rPr>
                <w:rFonts w:hint="eastAsia" w:ascii="仿宋" w:hAnsi="仿宋" w:eastAsia="仿宋" w:cs="宋体"/>
                <w:b/>
                <w:kern w:val="0"/>
                <w:sz w:val="18"/>
                <w:szCs w:val="18"/>
              </w:rPr>
              <w:t>12</w:t>
            </w:r>
          </w:p>
        </w:tc>
      </w:tr>
    </w:tbl>
    <w:p w14:paraId="57551044">
      <w:pPr>
        <w:pStyle w:val="35"/>
        <w:spacing w:before="156" w:after="156"/>
        <w:ind w:firstLine="480"/>
      </w:pPr>
      <w:r>
        <w:rPr>
          <w:rFonts w:hint="eastAsia"/>
        </w:rPr>
        <w:t>（1）项目立项</w:t>
      </w:r>
      <w:bookmarkEnd w:id="33"/>
      <w:r>
        <w:rPr>
          <w:rFonts w:hint="eastAsia"/>
        </w:rPr>
        <w:t>（4分）</w:t>
      </w:r>
      <w:bookmarkEnd w:id="34"/>
    </w:p>
    <w:p w14:paraId="1BFCCEED">
      <w:pPr>
        <w:pStyle w:val="35"/>
        <w:spacing w:before="156" w:after="156"/>
        <w:ind w:firstLine="480"/>
      </w:pPr>
      <w:bookmarkStart w:id="35" w:name="_Toc39760538"/>
      <w:bookmarkStart w:id="36" w:name="_Toc513580567"/>
      <w:r>
        <w:rPr>
          <w:rFonts w:hint="eastAsia"/>
        </w:rPr>
        <w:t>①立项依据充分性（2分）</w:t>
      </w:r>
    </w:p>
    <w:p w14:paraId="2F2212A1">
      <w:pPr>
        <w:pStyle w:val="35"/>
        <w:spacing w:before="156" w:after="156"/>
        <w:ind w:firstLine="480"/>
      </w:pPr>
      <w:r>
        <w:rPr>
          <w:rFonts w:hint="eastAsia"/>
        </w:rPr>
        <w:t>我们查阅了《湖北省民航业发展专项资金管理暂行办法》（鄂财建发[2018]185号）、《武汉航空发展引导专项资金管理办法》（武政规[2018]4号）、《市财政局关于批复市交通运输委2019年预算的函》（武财建函[2019]70号）等相关文件资料。</w:t>
      </w:r>
    </w:p>
    <w:p w14:paraId="69A05757">
      <w:pPr>
        <w:pStyle w:val="35"/>
        <w:spacing w:before="156" w:after="156"/>
        <w:ind w:firstLine="480"/>
      </w:pPr>
      <w:r>
        <w:rPr>
          <w:rFonts w:hint="eastAsia"/>
        </w:rPr>
        <w:t>我们认为，项目立项有充分的法律、法规、政策及经济社会发展规划为依据。</w:t>
      </w:r>
    </w:p>
    <w:p w14:paraId="7F1A0EFC">
      <w:pPr>
        <w:pStyle w:val="35"/>
        <w:spacing w:before="156" w:after="156"/>
        <w:ind w:firstLine="480"/>
      </w:pPr>
      <w:r>
        <w:rPr>
          <w:rFonts w:hint="eastAsia"/>
        </w:rPr>
        <w:t>根据评分标准，该指标评价得分为2分。</w:t>
      </w:r>
    </w:p>
    <w:p w14:paraId="1782F8AB">
      <w:pPr>
        <w:pStyle w:val="35"/>
        <w:spacing w:before="156" w:after="156"/>
        <w:ind w:firstLine="480"/>
      </w:pPr>
      <w:r>
        <w:rPr>
          <w:rFonts w:hint="eastAsia"/>
        </w:rPr>
        <w:t>②立项程序规范性（2分）</w:t>
      </w:r>
      <w:bookmarkEnd w:id="35"/>
    </w:p>
    <w:p w14:paraId="4A2A1D86">
      <w:pPr>
        <w:pStyle w:val="35"/>
        <w:spacing w:before="156" w:after="156"/>
        <w:ind w:firstLine="480"/>
      </w:pPr>
      <w:bookmarkStart w:id="37" w:name="_Toc39760539"/>
      <w:r>
        <w:rPr>
          <w:rFonts w:hint="eastAsia"/>
        </w:rPr>
        <w:t>我们查阅了《湖北省民航业发展专项资金管理暂行办法》（鄂财建发[2018]185号）、《武汉航空发展引导专项资金管理办法》（武政规[2018]4号）、《市财政局关于批复市交通运输委2019年预算的函》（武财建函[2019]70号）等相关文件资料。</w:t>
      </w:r>
      <w:bookmarkEnd w:id="37"/>
    </w:p>
    <w:p w14:paraId="7D97923B">
      <w:pPr>
        <w:pStyle w:val="35"/>
        <w:spacing w:before="156" w:after="156"/>
        <w:ind w:firstLine="480"/>
      </w:pPr>
      <w:bookmarkStart w:id="38" w:name="_Toc39760540"/>
      <w:r>
        <w:rPr>
          <w:rFonts w:hint="eastAsia"/>
        </w:rPr>
        <w:t>我们认为，项目立项有目标任务、资金预算计划，并报市财政局审核。</w:t>
      </w:r>
      <w:bookmarkEnd w:id="38"/>
    </w:p>
    <w:p w14:paraId="1D32DD89">
      <w:pPr>
        <w:pStyle w:val="35"/>
        <w:spacing w:before="156" w:after="156"/>
        <w:ind w:firstLine="480"/>
      </w:pPr>
      <w:bookmarkStart w:id="39" w:name="_Toc39760541"/>
      <w:r>
        <w:rPr>
          <w:rFonts w:hint="eastAsia"/>
        </w:rPr>
        <w:t>根据评分标准，该指标评价得分为2分。</w:t>
      </w:r>
      <w:bookmarkEnd w:id="36"/>
      <w:bookmarkEnd w:id="39"/>
    </w:p>
    <w:p w14:paraId="49510256">
      <w:pPr>
        <w:pStyle w:val="35"/>
        <w:spacing w:before="156" w:after="156"/>
        <w:ind w:firstLine="480"/>
      </w:pPr>
      <w:bookmarkStart w:id="40" w:name="_Toc513580572"/>
      <w:bookmarkStart w:id="41" w:name="_Toc39760550"/>
      <w:bookmarkStart w:id="42" w:name="_Toc513580568"/>
      <w:bookmarkStart w:id="43" w:name="_Toc39760542"/>
      <w:r>
        <w:rPr>
          <w:rFonts w:hint="eastAsia"/>
        </w:rPr>
        <w:t>（2</w:t>
      </w:r>
      <w:r>
        <w:t>）</w:t>
      </w:r>
      <w:bookmarkEnd w:id="40"/>
      <w:r>
        <w:rPr>
          <w:rFonts w:hint="eastAsia"/>
        </w:rPr>
        <w:t>绩效目标（8分）</w:t>
      </w:r>
      <w:bookmarkEnd w:id="41"/>
    </w:p>
    <w:p w14:paraId="71791842">
      <w:pPr>
        <w:pStyle w:val="35"/>
        <w:spacing w:before="156" w:after="156"/>
        <w:ind w:firstLine="480"/>
      </w:pPr>
      <w:r>
        <w:rPr>
          <w:rFonts w:hint="eastAsia"/>
        </w:rPr>
        <w:t>①绩效目标合理性</w:t>
      </w:r>
      <w:bookmarkEnd w:id="42"/>
      <w:r>
        <w:rPr>
          <w:rFonts w:hint="eastAsia"/>
        </w:rPr>
        <w:t>（4分）</w:t>
      </w:r>
      <w:bookmarkEnd w:id="43"/>
    </w:p>
    <w:p w14:paraId="55601CC7">
      <w:pPr>
        <w:pStyle w:val="35"/>
        <w:spacing w:before="156" w:after="156"/>
        <w:ind w:firstLine="480"/>
        <w:rPr>
          <w:highlight w:val="yellow"/>
        </w:rPr>
      </w:pPr>
      <w:bookmarkStart w:id="44" w:name="_Toc39760543"/>
      <w:bookmarkStart w:id="45" w:name="_Toc513580569"/>
      <w:r>
        <w:rPr>
          <w:rFonts w:hint="eastAsia"/>
        </w:rPr>
        <w:t>我们比较分析了《2019年市直部门项目申报表及绩效目标表》与“绩效考核指标体系”中的目标值。</w:t>
      </w:r>
      <w:bookmarkEnd w:id="44"/>
    </w:p>
    <w:p w14:paraId="2F29A992">
      <w:pPr>
        <w:pStyle w:val="35"/>
        <w:spacing w:before="156" w:after="156"/>
        <w:ind w:firstLine="480"/>
      </w:pPr>
      <w:bookmarkStart w:id="46" w:name="_Toc39760544"/>
      <w:r>
        <w:rPr>
          <w:rFonts w:hint="eastAsia"/>
        </w:rPr>
        <w:t>我们认为，项目绩效目标符合与政策紧密相关，与市交通运输局部门职责密切相关，为促进航空事业发展所必需，符合航空发展的总体规划要求。同时，指标目标值的确定不仅考虑了行业标准、绩效目标可实现性等相关因素，还考虑了更高的绩效追求，体现超前的绩效激励</w:t>
      </w:r>
      <w:bookmarkEnd w:id="45"/>
      <w:r>
        <w:rPr>
          <w:rFonts w:hint="eastAsia"/>
        </w:rPr>
        <w:t>导向。</w:t>
      </w:r>
      <w:bookmarkEnd w:id="46"/>
    </w:p>
    <w:p w14:paraId="2DAC3F00">
      <w:pPr>
        <w:pStyle w:val="35"/>
        <w:spacing w:before="156" w:after="156"/>
        <w:ind w:firstLine="480"/>
      </w:pPr>
      <w:bookmarkStart w:id="47" w:name="_Toc39760545"/>
      <w:r>
        <w:rPr>
          <w:rFonts w:hint="eastAsia"/>
        </w:rPr>
        <w:t>根据评分标准，该指标评价得分为4分。</w:t>
      </w:r>
      <w:bookmarkEnd w:id="47"/>
    </w:p>
    <w:p w14:paraId="0A2D9355">
      <w:pPr>
        <w:pStyle w:val="35"/>
        <w:spacing w:before="156" w:after="156"/>
        <w:ind w:firstLine="480"/>
      </w:pPr>
      <w:bookmarkStart w:id="48" w:name="_Toc513580570"/>
      <w:bookmarkStart w:id="49" w:name="_Toc39760546"/>
      <w:r>
        <w:rPr>
          <w:rFonts w:hint="eastAsia"/>
        </w:rPr>
        <w:t>③绩效指标明确性</w:t>
      </w:r>
      <w:bookmarkEnd w:id="48"/>
      <w:r>
        <w:rPr>
          <w:rFonts w:hint="eastAsia"/>
        </w:rPr>
        <w:t>（4分）</w:t>
      </w:r>
      <w:bookmarkEnd w:id="49"/>
    </w:p>
    <w:p w14:paraId="5F2CBB4B">
      <w:pPr>
        <w:pStyle w:val="35"/>
        <w:spacing w:before="156" w:after="156"/>
        <w:ind w:firstLine="480"/>
      </w:pPr>
      <w:bookmarkStart w:id="50" w:name="_Toc39760547"/>
      <w:bookmarkStart w:id="51" w:name="_Toc513580571"/>
      <w:r>
        <w:rPr>
          <w:rFonts w:hint="eastAsia"/>
        </w:rPr>
        <w:t>我们对项目预算批复进行了审阅，市交通运输局将项目绩效目标细化分解为具体的绩效总目标和年度绩效指标。</w:t>
      </w:r>
      <w:bookmarkEnd w:id="50"/>
    </w:p>
    <w:p w14:paraId="6BF1006C">
      <w:pPr>
        <w:pStyle w:val="35"/>
        <w:spacing w:before="156" w:after="156"/>
        <w:ind w:firstLine="480"/>
      </w:pPr>
      <w:bookmarkStart w:id="52" w:name="_Toc39760548"/>
      <w:r>
        <w:rPr>
          <w:rFonts w:hint="eastAsia"/>
        </w:rPr>
        <w:t>我们认为，绩效指标符合细化量化，具有时效性，突出目标导向，指标能通过清晰、可衡量的指标值予以体现。</w:t>
      </w:r>
      <w:bookmarkEnd w:id="51"/>
      <w:bookmarkEnd w:id="52"/>
    </w:p>
    <w:p w14:paraId="53F3669A">
      <w:pPr>
        <w:pStyle w:val="35"/>
        <w:spacing w:before="156" w:after="156"/>
        <w:ind w:firstLine="480"/>
      </w:pPr>
      <w:bookmarkStart w:id="53" w:name="_Toc39760549"/>
      <w:r>
        <w:rPr>
          <w:rFonts w:hint="eastAsia"/>
        </w:rPr>
        <w:t>根据评分标准，该指标评价得分为4分。</w:t>
      </w:r>
      <w:bookmarkEnd w:id="53"/>
    </w:p>
    <w:p w14:paraId="4CD692EF">
      <w:pPr>
        <w:pStyle w:val="35"/>
        <w:spacing w:before="156" w:after="156"/>
        <w:ind w:firstLine="480"/>
      </w:pPr>
      <w:bookmarkStart w:id="54" w:name="_Toc513580574"/>
      <w:bookmarkStart w:id="55" w:name="_Toc39760552"/>
      <w:r>
        <w:rPr>
          <w:rFonts w:hint="eastAsia"/>
        </w:rPr>
        <w:t>2.过程</w:t>
      </w:r>
      <w:bookmarkEnd w:id="54"/>
      <w:r>
        <w:rPr>
          <w:rFonts w:hint="eastAsia"/>
        </w:rPr>
        <w:t>（24分）</w:t>
      </w:r>
      <w:bookmarkEnd w:id="55"/>
    </w:p>
    <w:p w14:paraId="66743A98">
      <w:pPr>
        <w:pStyle w:val="35"/>
        <w:spacing w:before="156" w:after="156"/>
        <w:ind w:firstLine="480"/>
      </w:pPr>
      <w:bookmarkStart w:id="56" w:name="_Toc39760553"/>
      <w:bookmarkStart w:id="57" w:name="_Toc513580575"/>
      <w:r>
        <w:rPr>
          <w:rFonts w:hint="eastAsia"/>
        </w:rPr>
        <w:t>过程指标基准分值为24分，评价得分为24分。具体详情如下：</w:t>
      </w:r>
      <w:bookmarkEnd w:id="56"/>
    </w:p>
    <w:tbl>
      <w:tblPr>
        <w:tblStyle w:val="19"/>
        <w:tblW w:w="9340" w:type="dxa"/>
        <w:jc w:val="center"/>
        <w:tblBorders>
          <w:top w:val="double" w:color="auto" w:sz="4" w:space="0"/>
          <w:left w:val="none" w:color="auto" w:sz="0" w:space="0"/>
          <w:bottom w:val="double" w:color="auto" w:sz="4"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60"/>
        <w:gridCol w:w="1060"/>
        <w:gridCol w:w="2175"/>
        <w:gridCol w:w="3985"/>
        <w:gridCol w:w="1060"/>
      </w:tblGrid>
      <w:tr w14:paraId="659189AC">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blHeader/>
          <w:jc w:val="center"/>
        </w:trPr>
        <w:tc>
          <w:tcPr>
            <w:tcW w:w="1060" w:type="dxa"/>
            <w:shd w:val="clear" w:color="auto" w:fill="auto"/>
            <w:vAlign w:val="center"/>
          </w:tcPr>
          <w:p w14:paraId="500B4FEF">
            <w:pPr>
              <w:widowControl/>
              <w:jc w:val="center"/>
              <w:rPr>
                <w:rFonts w:ascii="仿宋" w:hAnsi="仿宋" w:eastAsia="仿宋" w:cs="宋体"/>
                <w:b/>
                <w:bCs/>
                <w:kern w:val="0"/>
                <w:sz w:val="18"/>
                <w:szCs w:val="18"/>
              </w:rPr>
            </w:pPr>
            <w:bookmarkStart w:id="58" w:name="_Toc39760554"/>
            <w:r>
              <w:rPr>
                <w:rFonts w:hint="eastAsia" w:ascii="仿宋" w:hAnsi="仿宋" w:eastAsia="仿宋" w:cs="宋体"/>
                <w:b/>
                <w:bCs/>
                <w:kern w:val="0"/>
                <w:sz w:val="18"/>
                <w:szCs w:val="18"/>
              </w:rPr>
              <w:t>一级指标</w:t>
            </w:r>
          </w:p>
        </w:tc>
        <w:tc>
          <w:tcPr>
            <w:tcW w:w="1060" w:type="dxa"/>
            <w:shd w:val="clear" w:color="auto" w:fill="auto"/>
            <w:vAlign w:val="center"/>
          </w:tcPr>
          <w:p w14:paraId="37309DA4">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二级指标</w:t>
            </w:r>
          </w:p>
        </w:tc>
        <w:tc>
          <w:tcPr>
            <w:tcW w:w="2175" w:type="dxa"/>
            <w:shd w:val="clear" w:color="auto" w:fill="auto"/>
            <w:vAlign w:val="center"/>
          </w:tcPr>
          <w:p w14:paraId="613EEE28">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三级指标</w:t>
            </w:r>
          </w:p>
        </w:tc>
        <w:tc>
          <w:tcPr>
            <w:tcW w:w="3985" w:type="dxa"/>
            <w:shd w:val="clear" w:color="auto" w:fill="auto"/>
            <w:vAlign w:val="center"/>
          </w:tcPr>
          <w:p w14:paraId="3845660F">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评分标准</w:t>
            </w:r>
          </w:p>
        </w:tc>
        <w:tc>
          <w:tcPr>
            <w:tcW w:w="1060" w:type="dxa"/>
            <w:shd w:val="clear" w:color="auto" w:fill="auto"/>
            <w:vAlign w:val="center"/>
          </w:tcPr>
          <w:p w14:paraId="45611310">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w:t>
            </w:r>
          </w:p>
        </w:tc>
      </w:tr>
      <w:tr w14:paraId="1CC2915D">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06" w:hRule="atLeast"/>
          <w:jc w:val="center"/>
        </w:trPr>
        <w:tc>
          <w:tcPr>
            <w:tcW w:w="1060" w:type="dxa"/>
            <w:vMerge w:val="restart"/>
            <w:shd w:val="clear" w:color="auto" w:fill="auto"/>
            <w:vAlign w:val="center"/>
          </w:tcPr>
          <w:p w14:paraId="3AF4939B">
            <w:pPr>
              <w:widowControl/>
              <w:jc w:val="center"/>
              <w:rPr>
                <w:rFonts w:ascii="仿宋" w:hAnsi="仿宋" w:eastAsia="仿宋" w:cs="宋体"/>
                <w:kern w:val="0"/>
                <w:sz w:val="18"/>
                <w:szCs w:val="18"/>
              </w:rPr>
            </w:pPr>
            <w:r>
              <w:rPr>
                <w:rFonts w:hint="eastAsia" w:ascii="仿宋" w:hAnsi="仿宋" w:eastAsia="仿宋" w:cs="宋体"/>
                <w:kern w:val="0"/>
                <w:sz w:val="18"/>
                <w:szCs w:val="18"/>
              </w:rPr>
              <w:t>过程</w:t>
            </w:r>
            <w:r>
              <w:rPr>
                <w:rFonts w:hint="eastAsia" w:ascii="仿宋" w:hAnsi="仿宋" w:eastAsia="仿宋" w:cs="宋体"/>
                <w:kern w:val="0"/>
                <w:sz w:val="18"/>
                <w:szCs w:val="18"/>
              </w:rPr>
              <w:br w:type="textWrapping"/>
            </w:r>
            <w:r>
              <w:rPr>
                <w:rFonts w:hint="eastAsia" w:ascii="仿宋" w:hAnsi="仿宋" w:eastAsia="仿宋" w:cs="宋体"/>
                <w:kern w:val="0"/>
                <w:sz w:val="18"/>
                <w:szCs w:val="18"/>
              </w:rPr>
              <w:t>（24分）</w:t>
            </w:r>
          </w:p>
        </w:tc>
        <w:tc>
          <w:tcPr>
            <w:tcW w:w="1060" w:type="dxa"/>
            <w:vMerge w:val="restart"/>
            <w:shd w:val="clear" w:color="auto" w:fill="auto"/>
            <w:vAlign w:val="center"/>
          </w:tcPr>
          <w:p w14:paraId="3FABA1EF">
            <w:pPr>
              <w:widowControl/>
              <w:jc w:val="center"/>
              <w:rPr>
                <w:rFonts w:ascii="仿宋" w:hAnsi="仿宋" w:eastAsia="仿宋" w:cs="宋体"/>
                <w:kern w:val="0"/>
                <w:sz w:val="18"/>
                <w:szCs w:val="18"/>
              </w:rPr>
            </w:pPr>
            <w:r>
              <w:rPr>
                <w:rFonts w:hint="eastAsia" w:ascii="仿宋" w:hAnsi="仿宋" w:eastAsia="仿宋" w:cs="宋体"/>
                <w:kern w:val="0"/>
                <w:sz w:val="18"/>
                <w:szCs w:val="18"/>
              </w:rPr>
              <w:t>资金管理（12分）</w:t>
            </w:r>
          </w:p>
        </w:tc>
        <w:tc>
          <w:tcPr>
            <w:tcW w:w="2175" w:type="dxa"/>
            <w:vMerge w:val="restart"/>
            <w:shd w:val="clear" w:color="auto" w:fill="auto"/>
            <w:vAlign w:val="center"/>
          </w:tcPr>
          <w:p w14:paraId="10DFCFB4">
            <w:pPr>
              <w:widowControl/>
              <w:jc w:val="left"/>
              <w:rPr>
                <w:rFonts w:ascii="仿宋" w:hAnsi="仿宋" w:eastAsia="仿宋" w:cs="宋体"/>
                <w:kern w:val="0"/>
                <w:sz w:val="18"/>
                <w:szCs w:val="18"/>
              </w:rPr>
            </w:pPr>
            <w:r>
              <w:rPr>
                <w:rFonts w:hint="eastAsia" w:ascii="仿宋" w:hAnsi="仿宋" w:eastAsia="仿宋" w:cs="宋体"/>
                <w:kern w:val="0"/>
                <w:sz w:val="18"/>
                <w:szCs w:val="18"/>
              </w:rPr>
              <w:t>资金到位率（3分）</w:t>
            </w:r>
          </w:p>
        </w:tc>
        <w:tc>
          <w:tcPr>
            <w:tcW w:w="3985" w:type="dxa"/>
            <w:shd w:val="clear" w:color="auto" w:fill="auto"/>
            <w:vAlign w:val="center"/>
          </w:tcPr>
          <w:p w14:paraId="484F8629">
            <w:pPr>
              <w:rPr>
                <w:rFonts w:ascii="仿宋" w:hAnsi="仿宋" w:eastAsia="仿宋" w:cs="宋体"/>
                <w:sz w:val="18"/>
                <w:szCs w:val="18"/>
              </w:rPr>
            </w:pPr>
            <w:r>
              <w:rPr>
                <w:rFonts w:hint="eastAsia" w:ascii="仿宋" w:hAnsi="仿宋" w:eastAsia="仿宋"/>
                <w:sz w:val="18"/>
                <w:szCs w:val="18"/>
              </w:rPr>
              <w:t>资金到位率 = （实际到位资金/预算资金）×100%</w:t>
            </w:r>
          </w:p>
        </w:tc>
        <w:tc>
          <w:tcPr>
            <w:tcW w:w="1060" w:type="dxa"/>
            <w:vMerge w:val="restart"/>
            <w:shd w:val="clear" w:color="auto" w:fill="auto"/>
            <w:noWrap/>
            <w:vAlign w:val="center"/>
          </w:tcPr>
          <w:p w14:paraId="65F6D26A">
            <w:pPr>
              <w:widowControl/>
              <w:jc w:val="center"/>
              <w:rPr>
                <w:rFonts w:ascii="仿宋" w:hAnsi="仿宋" w:eastAsia="仿宋" w:cs="宋体"/>
                <w:kern w:val="0"/>
                <w:sz w:val="18"/>
                <w:szCs w:val="18"/>
              </w:rPr>
            </w:pPr>
            <w:r>
              <w:rPr>
                <w:rFonts w:hint="eastAsia" w:ascii="仿宋" w:hAnsi="仿宋" w:eastAsia="仿宋" w:cs="宋体"/>
                <w:kern w:val="0"/>
                <w:sz w:val="18"/>
                <w:szCs w:val="18"/>
              </w:rPr>
              <w:t>3</w:t>
            </w:r>
          </w:p>
        </w:tc>
      </w:tr>
      <w:tr w14:paraId="181E83E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30" w:hRule="atLeast"/>
          <w:jc w:val="center"/>
        </w:trPr>
        <w:tc>
          <w:tcPr>
            <w:tcW w:w="1060" w:type="dxa"/>
            <w:vMerge w:val="continue"/>
            <w:shd w:val="clear" w:color="auto" w:fill="auto"/>
            <w:vAlign w:val="center"/>
          </w:tcPr>
          <w:p w14:paraId="7D8BCD16">
            <w:pPr>
              <w:widowControl/>
              <w:jc w:val="left"/>
              <w:rPr>
                <w:rFonts w:ascii="仿宋" w:hAnsi="仿宋" w:eastAsia="仿宋" w:cs="宋体"/>
                <w:kern w:val="0"/>
                <w:sz w:val="18"/>
                <w:szCs w:val="18"/>
              </w:rPr>
            </w:pPr>
          </w:p>
        </w:tc>
        <w:tc>
          <w:tcPr>
            <w:tcW w:w="1060" w:type="dxa"/>
            <w:vMerge w:val="continue"/>
            <w:shd w:val="clear" w:color="auto" w:fill="auto"/>
            <w:vAlign w:val="center"/>
          </w:tcPr>
          <w:p w14:paraId="75BA7C4D">
            <w:pPr>
              <w:widowControl/>
              <w:jc w:val="left"/>
              <w:rPr>
                <w:rFonts w:ascii="仿宋" w:hAnsi="仿宋" w:eastAsia="仿宋" w:cs="宋体"/>
                <w:kern w:val="0"/>
                <w:sz w:val="18"/>
                <w:szCs w:val="18"/>
              </w:rPr>
            </w:pPr>
          </w:p>
        </w:tc>
        <w:tc>
          <w:tcPr>
            <w:tcW w:w="2175" w:type="dxa"/>
            <w:vMerge w:val="continue"/>
            <w:shd w:val="clear" w:color="auto" w:fill="auto"/>
            <w:vAlign w:val="center"/>
          </w:tcPr>
          <w:p w14:paraId="0373C64B">
            <w:pPr>
              <w:widowControl/>
              <w:jc w:val="left"/>
              <w:rPr>
                <w:rFonts w:ascii="仿宋" w:hAnsi="仿宋" w:eastAsia="仿宋" w:cs="宋体"/>
                <w:kern w:val="0"/>
                <w:sz w:val="18"/>
                <w:szCs w:val="18"/>
              </w:rPr>
            </w:pPr>
          </w:p>
        </w:tc>
        <w:tc>
          <w:tcPr>
            <w:tcW w:w="3985" w:type="dxa"/>
            <w:shd w:val="clear" w:color="auto" w:fill="auto"/>
            <w:vAlign w:val="center"/>
          </w:tcPr>
          <w:p w14:paraId="5120FFFF">
            <w:pPr>
              <w:rPr>
                <w:rFonts w:ascii="仿宋" w:hAnsi="仿宋" w:eastAsia="仿宋" w:cs="宋体"/>
                <w:sz w:val="18"/>
                <w:szCs w:val="18"/>
              </w:rPr>
            </w:pPr>
            <w:r>
              <w:rPr>
                <w:rFonts w:hint="eastAsia" w:ascii="仿宋" w:hAnsi="仿宋" w:eastAsia="仿宋"/>
                <w:sz w:val="18"/>
                <w:szCs w:val="18"/>
              </w:rPr>
              <w:t>①  资金到位率达到100%，计3分；</w:t>
            </w:r>
          </w:p>
        </w:tc>
        <w:tc>
          <w:tcPr>
            <w:tcW w:w="1060" w:type="dxa"/>
            <w:vMerge w:val="continue"/>
            <w:shd w:val="clear" w:color="auto" w:fill="auto"/>
            <w:vAlign w:val="center"/>
          </w:tcPr>
          <w:p w14:paraId="385853F2">
            <w:pPr>
              <w:widowControl/>
              <w:jc w:val="left"/>
              <w:rPr>
                <w:rFonts w:ascii="仿宋" w:hAnsi="仿宋" w:eastAsia="仿宋" w:cs="宋体"/>
                <w:kern w:val="0"/>
                <w:sz w:val="18"/>
                <w:szCs w:val="18"/>
              </w:rPr>
            </w:pPr>
          </w:p>
        </w:tc>
      </w:tr>
      <w:tr w14:paraId="5C115DC0">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vMerge w:val="continue"/>
            <w:shd w:val="clear" w:color="auto" w:fill="auto"/>
            <w:vAlign w:val="center"/>
          </w:tcPr>
          <w:p w14:paraId="7838CE46">
            <w:pPr>
              <w:widowControl/>
              <w:jc w:val="left"/>
              <w:rPr>
                <w:rFonts w:ascii="仿宋" w:hAnsi="仿宋" w:eastAsia="仿宋" w:cs="宋体"/>
                <w:kern w:val="0"/>
                <w:sz w:val="18"/>
                <w:szCs w:val="18"/>
              </w:rPr>
            </w:pPr>
          </w:p>
        </w:tc>
        <w:tc>
          <w:tcPr>
            <w:tcW w:w="1060" w:type="dxa"/>
            <w:vMerge w:val="continue"/>
            <w:shd w:val="clear" w:color="auto" w:fill="auto"/>
            <w:vAlign w:val="center"/>
          </w:tcPr>
          <w:p w14:paraId="24608469">
            <w:pPr>
              <w:widowControl/>
              <w:jc w:val="left"/>
              <w:rPr>
                <w:rFonts w:ascii="仿宋" w:hAnsi="仿宋" w:eastAsia="仿宋" w:cs="宋体"/>
                <w:kern w:val="0"/>
                <w:sz w:val="18"/>
                <w:szCs w:val="18"/>
              </w:rPr>
            </w:pPr>
          </w:p>
        </w:tc>
        <w:tc>
          <w:tcPr>
            <w:tcW w:w="2175" w:type="dxa"/>
            <w:vMerge w:val="continue"/>
            <w:shd w:val="clear" w:color="auto" w:fill="auto"/>
            <w:vAlign w:val="center"/>
          </w:tcPr>
          <w:p w14:paraId="6611FDE8">
            <w:pPr>
              <w:widowControl/>
              <w:jc w:val="left"/>
              <w:rPr>
                <w:rFonts w:ascii="仿宋" w:hAnsi="仿宋" w:eastAsia="仿宋" w:cs="宋体"/>
                <w:kern w:val="0"/>
                <w:sz w:val="18"/>
                <w:szCs w:val="18"/>
              </w:rPr>
            </w:pPr>
          </w:p>
        </w:tc>
        <w:tc>
          <w:tcPr>
            <w:tcW w:w="3985" w:type="dxa"/>
            <w:shd w:val="clear" w:color="auto" w:fill="auto"/>
            <w:vAlign w:val="center"/>
          </w:tcPr>
          <w:p w14:paraId="40D9C233">
            <w:pPr>
              <w:rPr>
                <w:rFonts w:ascii="仿宋" w:hAnsi="仿宋" w:eastAsia="仿宋" w:cs="宋体"/>
                <w:sz w:val="18"/>
                <w:szCs w:val="18"/>
              </w:rPr>
            </w:pPr>
            <w:r>
              <w:rPr>
                <w:rFonts w:hint="eastAsia" w:ascii="仿宋" w:hAnsi="仿宋" w:eastAsia="仿宋"/>
                <w:sz w:val="18"/>
                <w:szCs w:val="18"/>
              </w:rPr>
              <w:t>②  资金到位率在100%以下，按实际资金到位率与100%的比值，乘以3分计分。</w:t>
            </w:r>
          </w:p>
        </w:tc>
        <w:tc>
          <w:tcPr>
            <w:tcW w:w="1060" w:type="dxa"/>
            <w:vMerge w:val="continue"/>
            <w:shd w:val="clear" w:color="auto" w:fill="auto"/>
            <w:vAlign w:val="center"/>
          </w:tcPr>
          <w:p w14:paraId="22A35D4C">
            <w:pPr>
              <w:widowControl/>
              <w:jc w:val="left"/>
              <w:rPr>
                <w:rFonts w:ascii="仿宋" w:hAnsi="仿宋" w:eastAsia="仿宋" w:cs="宋体"/>
                <w:kern w:val="0"/>
                <w:sz w:val="18"/>
                <w:szCs w:val="18"/>
              </w:rPr>
            </w:pPr>
          </w:p>
        </w:tc>
      </w:tr>
      <w:tr w14:paraId="0CD0F5B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6" w:hRule="atLeast"/>
          <w:jc w:val="center"/>
        </w:trPr>
        <w:tc>
          <w:tcPr>
            <w:tcW w:w="1060" w:type="dxa"/>
            <w:vMerge w:val="continue"/>
            <w:shd w:val="clear" w:color="auto" w:fill="auto"/>
            <w:vAlign w:val="center"/>
          </w:tcPr>
          <w:p w14:paraId="63E77D6D">
            <w:pPr>
              <w:widowControl/>
              <w:jc w:val="left"/>
              <w:rPr>
                <w:rFonts w:ascii="仿宋" w:hAnsi="仿宋" w:eastAsia="仿宋" w:cs="宋体"/>
                <w:kern w:val="0"/>
                <w:sz w:val="18"/>
                <w:szCs w:val="18"/>
              </w:rPr>
            </w:pPr>
          </w:p>
        </w:tc>
        <w:tc>
          <w:tcPr>
            <w:tcW w:w="1060" w:type="dxa"/>
            <w:vMerge w:val="continue"/>
            <w:shd w:val="clear" w:color="auto" w:fill="auto"/>
            <w:vAlign w:val="center"/>
          </w:tcPr>
          <w:p w14:paraId="3A0624CF">
            <w:pPr>
              <w:widowControl/>
              <w:jc w:val="left"/>
              <w:rPr>
                <w:rFonts w:ascii="仿宋" w:hAnsi="仿宋" w:eastAsia="仿宋" w:cs="宋体"/>
                <w:kern w:val="0"/>
                <w:sz w:val="18"/>
                <w:szCs w:val="18"/>
              </w:rPr>
            </w:pPr>
          </w:p>
        </w:tc>
        <w:tc>
          <w:tcPr>
            <w:tcW w:w="2175" w:type="dxa"/>
            <w:vMerge w:val="restart"/>
            <w:shd w:val="clear" w:color="auto" w:fill="auto"/>
            <w:vAlign w:val="center"/>
          </w:tcPr>
          <w:p w14:paraId="24C791E1">
            <w:pPr>
              <w:widowControl/>
              <w:jc w:val="left"/>
              <w:rPr>
                <w:rFonts w:ascii="仿宋" w:hAnsi="仿宋" w:eastAsia="仿宋" w:cs="宋体"/>
                <w:kern w:val="0"/>
                <w:sz w:val="18"/>
                <w:szCs w:val="18"/>
              </w:rPr>
            </w:pPr>
            <w:r>
              <w:rPr>
                <w:rFonts w:hint="eastAsia" w:ascii="仿宋" w:hAnsi="仿宋" w:eastAsia="仿宋" w:cs="宋体"/>
                <w:kern w:val="0"/>
                <w:sz w:val="18"/>
                <w:szCs w:val="18"/>
              </w:rPr>
              <w:t>资金执行率（3分）</w:t>
            </w:r>
          </w:p>
        </w:tc>
        <w:tc>
          <w:tcPr>
            <w:tcW w:w="3985" w:type="dxa"/>
            <w:shd w:val="clear" w:color="auto" w:fill="auto"/>
            <w:vAlign w:val="center"/>
          </w:tcPr>
          <w:p w14:paraId="50A49C4F">
            <w:pPr>
              <w:rPr>
                <w:rFonts w:ascii="仿宋" w:hAnsi="仿宋" w:eastAsia="仿宋" w:cs="宋体"/>
                <w:sz w:val="18"/>
                <w:szCs w:val="18"/>
              </w:rPr>
            </w:pPr>
            <w:r>
              <w:rPr>
                <w:rFonts w:hint="eastAsia" w:ascii="仿宋" w:hAnsi="仿宋" w:eastAsia="仿宋"/>
                <w:sz w:val="18"/>
                <w:szCs w:val="18"/>
              </w:rPr>
              <w:t>资金执行率 = （实际支出资金/实际到位资金）×100%</w:t>
            </w:r>
          </w:p>
        </w:tc>
        <w:tc>
          <w:tcPr>
            <w:tcW w:w="1060" w:type="dxa"/>
            <w:vMerge w:val="restart"/>
            <w:shd w:val="clear" w:color="auto" w:fill="auto"/>
            <w:noWrap/>
            <w:vAlign w:val="center"/>
          </w:tcPr>
          <w:p w14:paraId="656A1F87">
            <w:pPr>
              <w:widowControl/>
              <w:jc w:val="center"/>
              <w:rPr>
                <w:rFonts w:ascii="仿宋" w:hAnsi="仿宋" w:eastAsia="仿宋" w:cs="宋体"/>
                <w:kern w:val="0"/>
                <w:sz w:val="18"/>
                <w:szCs w:val="18"/>
              </w:rPr>
            </w:pPr>
            <w:r>
              <w:rPr>
                <w:rFonts w:hint="eastAsia" w:ascii="仿宋" w:hAnsi="仿宋" w:eastAsia="仿宋" w:cs="宋体"/>
                <w:kern w:val="0"/>
                <w:sz w:val="18"/>
                <w:szCs w:val="18"/>
              </w:rPr>
              <w:t>3</w:t>
            </w:r>
          </w:p>
        </w:tc>
      </w:tr>
      <w:tr w14:paraId="546FA30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26" w:hRule="atLeast"/>
          <w:jc w:val="center"/>
        </w:trPr>
        <w:tc>
          <w:tcPr>
            <w:tcW w:w="1060" w:type="dxa"/>
            <w:vMerge w:val="continue"/>
            <w:shd w:val="clear" w:color="auto" w:fill="auto"/>
            <w:vAlign w:val="center"/>
          </w:tcPr>
          <w:p w14:paraId="4131FE28">
            <w:pPr>
              <w:widowControl/>
              <w:jc w:val="left"/>
              <w:rPr>
                <w:rFonts w:ascii="仿宋" w:hAnsi="仿宋" w:eastAsia="仿宋" w:cs="宋体"/>
                <w:kern w:val="0"/>
                <w:sz w:val="18"/>
                <w:szCs w:val="18"/>
              </w:rPr>
            </w:pPr>
          </w:p>
        </w:tc>
        <w:tc>
          <w:tcPr>
            <w:tcW w:w="1060" w:type="dxa"/>
            <w:vMerge w:val="continue"/>
            <w:shd w:val="clear" w:color="auto" w:fill="auto"/>
            <w:vAlign w:val="center"/>
          </w:tcPr>
          <w:p w14:paraId="69D6B536">
            <w:pPr>
              <w:widowControl/>
              <w:jc w:val="left"/>
              <w:rPr>
                <w:rFonts w:ascii="仿宋" w:hAnsi="仿宋" w:eastAsia="仿宋" w:cs="宋体"/>
                <w:kern w:val="0"/>
                <w:sz w:val="18"/>
                <w:szCs w:val="18"/>
              </w:rPr>
            </w:pPr>
          </w:p>
        </w:tc>
        <w:tc>
          <w:tcPr>
            <w:tcW w:w="2175" w:type="dxa"/>
            <w:vMerge w:val="continue"/>
            <w:shd w:val="clear" w:color="auto" w:fill="auto"/>
            <w:vAlign w:val="center"/>
          </w:tcPr>
          <w:p w14:paraId="1E08D5F7">
            <w:pPr>
              <w:widowControl/>
              <w:jc w:val="left"/>
              <w:rPr>
                <w:rFonts w:ascii="仿宋" w:hAnsi="仿宋" w:eastAsia="仿宋" w:cs="宋体"/>
                <w:kern w:val="0"/>
                <w:sz w:val="18"/>
                <w:szCs w:val="18"/>
              </w:rPr>
            </w:pPr>
          </w:p>
        </w:tc>
        <w:tc>
          <w:tcPr>
            <w:tcW w:w="3985" w:type="dxa"/>
            <w:shd w:val="clear" w:color="auto" w:fill="auto"/>
            <w:vAlign w:val="center"/>
          </w:tcPr>
          <w:p w14:paraId="031B1068">
            <w:pPr>
              <w:rPr>
                <w:rFonts w:ascii="仿宋" w:hAnsi="仿宋" w:eastAsia="仿宋" w:cs="宋体"/>
                <w:sz w:val="18"/>
                <w:szCs w:val="18"/>
              </w:rPr>
            </w:pPr>
            <w:r>
              <w:rPr>
                <w:rFonts w:hint="eastAsia" w:ascii="仿宋" w:hAnsi="仿宋" w:eastAsia="仿宋"/>
                <w:sz w:val="18"/>
                <w:szCs w:val="18"/>
              </w:rPr>
              <w:t>①  资金执行率达到100%，计3分；</w:t>
            </w:r>
          </w:p>
        </w:tc>
        <w:tc>
          <w:tcPr>
            <w:tcW w:w="1060" w:type="dxa"/>
            <w:vMerge w:val="continue"/>
            <w:shd w:val="clear" w:color="auto" w:fill="auto"/>
            <w:vAlign w:val="center"/>
          </w:tcPr>
          <w:p w14:paraId="0938B5DB">
            <w:pPr>
              <w:widowControl/>
              <w:jc w:val="left"/>
              <w:rPr>
                <w:rFonts w:ascii="仿宋" w:hAnsi="仿宋" w:eastAsia="仿宋" w:cs="宋体"/>
                <w:kern w:val="0"/>
                <w:sz w:val="18"/>
                <w:szCs w:val="18"/>
              </w:rPr>
            </w:pPr>
          </w:p>
        </w:tc>
      </w:tr>
      <w:tr w14:paraId="26A60674">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vMerge w:val="continue"/>
            <w:shd w:val="clear" w:color="auto" w:fill="auto"/>
            <w:vAlign w:val="center"/>
          </w:tcPr>
          <w:p w14:paraId="4F25B0DF">
            <w:pPr>
              <w:widowControl/>
              <w:jc w:val="left"/>
              <w:rPr>
                <w:rFonts w:ascii="仿宋" w:hAnsi="仿宋" w:eastAsia="仿宋" w:cs="宋体"/>
                <w:kern w:val="0"/>
                <w:sz w:val="18"/>
                <w:szCs w:val="18"/>
              </w:rPr>
            </w:pPr>
          </w:p>
        </w:tc>
        <w:tc>
          <w:tcPr>
            <w:tcW w:w="1060" w:type="dxa"/>
            <w:vMerge w:val="continue"/>
            <w:shd w:val="clear" w:color="auto" w:fill="auto"/>
            <w:vAlign w:val="center"/>
          </w:tcPr>
          <w:p w14:paraId="0011E754">
            <w:pPr>
              <w:widowControl/>
              <w:jc w:val="left"/>
              <w:rPr>
                <w:rFonts w:ascii="仿宋" w:hAnsi="仿宋" w:eastAsia="仿宋" w:cs="宋体"/>
                <w:kern w:val="0"/>
                <w:sz w:val="18"/>
                <w:szCs w:val="18"/>
              </w:rPr>
            </w:pPr>
          </w:p>
        </w:tc>
        <w:tc>
          <w:tcPr>
            <w:tcW w:w="2175" w:type="dxa"/>
            <w:vMerge w:val="continue"/>
            <w:shd w:val="clear" w:color="auto" w:fill="auto"/>
            <w:vAlign w:val="center"/>
          </w:tcPr>
          <w:p w14:paraId="457F7E90">
            <w:pPr>
              <w:widowControl/>
              <w:jc w:val="left"/>
              <w:rPr>
                <w:rFonts w:ascii="仿宋" w:hAnsi="仿宋" w:eastAsia="仿宋" w:cs="宋体"/>
                <w:kern w:val="0"/>
                <w:sz w:val="18"/>
                <w:szCs w:val="18"/>
              </w:rPr>
            </w:pPr>
          </w:p>
        </w:tc>
        <w:tc>
          <w:tcPr>
            <w:tcW w:w="3985" w:type="dxa"/>
            <w:shd w:val="clear" w:color="auto" w:fill="auto"/>
            <w:vAlign w:val="center"/>
          </w:tcPr>
          <w:p w14:paraId="61C07EEA">
            <w:pPr>
              <w:rPr>
                <w:rFonts w:ascii="仿宋" w:hAnsi="仿宋" w:eastAsia="仿宋" w:cs="宋体"/>
                <w:sz w:val="18"/>
                <w:szCs w:val="18"/>
              </w:rPr>
            </w:pPr>
            <w:r>
              <w:rPr>
                <w:rFonts w:hint="eastAsia" w:ascii="仿宋" w:hAnsi="仿宋" w:eastAsia="仿宋"/>
                <w:sz w:val="18"/>
                <w:szCs w:val="18"/>
              </w:rPr>
              <w:t>②  资金执行率在100%以下，按实际资金执行率与100%的比值，乘以3分计分。</w:t>
            </w:r>
          </w:p>
        </w:tc>
        <w:tc>
          <w:tcPr>
            <w:tcW w:w="1060" w:type="dxa"/>
            <w:vMerge w:val="continue"/>
            <w:shd w:val="clear" w:color="auto" w:fill="auto"/>
            <w:vAlign w:val="center"/>
          </w:tcPr>
          <w:p w14:paraId="3BAE8C63">
            <w:pPr>
              <w:widowControl/>
              <w:jc w:val="left"/>
              <w:rPr>
                <w:rFonts w:ascii="仿宋" w:hAnsi="仿宋" w:eastAsia="仿宋" w:cs="宋体"/>
                <w:kern w:val="0"/>
                <w:sz w:val="18"/>
                <w:szCs w:val="18"/>
              </w:rPr>
            </w:pPr>
          </w:p>
        </w:tc>
      </w:tr>
      <w:tr w14:paraId="5600759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vMerge w:val="continue"/>
            <w:shd w:val="clear" w:color="auto" w:fill="auto"/>
            <w:vAlign w:val="center"/>
          </w:tcPr>
          <w:p w14:paraId="53B13D9E">
            <w:pPr>
              <w:widowControl/>
              <w:jc w:val="left"/>
              <w:rPr>
                <w:rFonts w:ascii="仿宋" w:hAnsi="仿宋" w:eastAsia="仿宋" w:cs="宋体"/>
                <w:kern w:val="0"/>
                <w:sz w:val="18"/>
                <w:szCs w:val="18"/>
              </w:rPr>
            </w:pPr>
          </w:p>
        </w:tc>
        <w:tc>
          <w:tcPr>
            <w:tcW w:w="1060" w:type="dxa"/>
            <w:vMerge w:val="continue"/>
            <w:shd w:val="clear" w:color="auto" w:fill="auto"/>
            <w:vAlign w:val="center"/>
          </w:tcPr>
          <w:p w14:paraId="3B3DD02F">
            <w:pPr>
              <w:widowControl/>
              <w:jc w:val="left"/>
              <w:rPr>
                <w:rFonts w:ascii="仿宋" w:hAnsi="仿宋" w:eastAsia="仿宋" w:cs="宋体"/>
                <w:kern w:val="0"/>
                <w:sz w:val="18"/>
                <w:szCs w:val="18"/>
              </w:rPr>
            </w:pPr>
          </w:p>
        </w:tc>
        <w:tc>
          <w:tcPr>
            <w:tcW w:w="2175" w:type="dxa"/>
            <w:vMerge w:val="restart"/>
            <w:shd w:val="clear" w:color="auto" w:fill="auto"/>
            <w:vAlign w:val="center"/>
          </w:tcPr>
          <w:p w14:paraId="1A8A9EEF">
            <w:pPr>
              <w:widowControl/>
              <w:jc w:val="left"/>
              <w:rPr>
                <w:rFonts w:ascii="仿宋" w:hAnsi="仿宋" w:eastAsia="仿宋" w:cs="宋体"/>
                <w:kern w:val="0"/>
                <w:sz w:val="18"/>
                <w:szCs w:val="18"/>
              </w:rPr>
            </w:pPr>
            <w:r>
              <w:rPr>
                <w:rFonts w:hint="eastAsia" w:ascii="仿宋" w:hAnsi="仿宋" w:eastAsia="仿宋" w:cs="宋体"/>
                <w:kern w:val="0"/>
                <w:sz w:val="18"/>
                <w:szCs w:val="18"/>
              </w:rPr>
              <w:t>资金使用合规性（6分）</w:t>
            </w:r>
          </w:p>
        </w:tc>
        <w:tc>
          <w:tcPr>
            <w:tcW w:w="3985" w:type="dxa"/>
            <w:shd w:val="clear" w:color="auto" w:fill="auto"/>
            <w:vAlign w:val="center"/>
          </w:tcPr>
          <w:p w14:paraId="358362CD">
            <w:pPr>
              <w:rPr>
                <w:rFonts w:ascii="仿宋" w:hAnsi="仿宋" w:eastAsia="仿宋" w:cs="宋体"/>
                <w:sz w:val="18"/>
                <w:szCs w:val="18"/>
              </w:rPr>
            </w:pPr>
            <w:r>
              <w:rPr>
                <w:rFonts w:hint="eastAsia" w:ascii="仿宋" w:hAnsi="仿宋" w:eastAsia="仿宋"/>
                <w:sz w:val="18"/>
                <w:szCs w:val="18"/>
              </w:rPr>
              <w:t>①  项目资金专款专户、独立核算，资金使用符合专项资金管理制度的规定，计2分；</w:t>
            </w:r>
          </w:p>
        </w:tc>
        <w:tc>
          <w:tcPr>
            <w:tcW w:w="1060" w:type="dxa"/>
            <w:vMerge w:val="restart"/>
            <w:shd w:val="clear" w:color="auto" w:fill="auto"/>
            <w:noWrap/>
            <w:vAlign w:val="center"/>
          </w:tcPr>
          <w:p w14:paraId="7C940110">
            <w:pPr>
              <w:widowControl/>
              <w:jc w:val="center"/>
              <w:rPr>
                <w:rFonts w:ascii="仿宋" w:hAnsi="仿宋" w:eastAsia="仿宋" w:cs="宋体"/>
                <w:kern w:val="0"/>
                <w:sz w:val="18"/>
                <w:szCs w:val="18"/>
              </w:rPr>
            </w:pPr>
            <w:r>
              <w:rPr>
                <w:rFonts w:hint="eastAsia" w:ascii="仿宋" w:hAnsi="仿宋" w:eastAsia="仿宋" w:cs="宋体"/>
                <w:kern w:val="0"/>
                <w:sz w:val="18"/>
                <w:szCs w:val="18"/>
              </w:rPr>
              <w:t>6</w:t>
            </w:r>
          </w:p>
        </w:tc>
      </w:tr>
      <w:tr w14:paraId="3321962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21" w:hRule="atLeast"/>
          <w:jc w:val="center"/>
        </w:trPr>
        <w:tc>
          <w:tcPr>
            <w:tcW w:w="1060" w:type="dxa"/>
            <w:vMerge w:val="continue"/>
            <w:shd w:val="clear" w:color="auto" w:fill="auto"/>
            <w:vAlign w:val="center"/>
          </w:tcPr>
          <w:p w14:paraId="07C4C279">
            <w:pPr>
              <w:widowControl/>
              <w:jc w:val="left"/>
              <w:rPr>
                <w:rFonts w:ascii="仿宋" w:hAnsi="仿宋" w:eastAsia="仿宋" w:cs="宋体"/>
                <w:kern w:val="0"/>
                <w:sz w:val="18"/>
                <w:szCs w:val="18"/>
              </w:rPr>
            </w:pPr>
          </w:p>
        </w:tc>
        <w:tc>
          <w:tcPr>
            <w:tcW w:w="1060" w:type="dxa"/>
            <w:vMerge w:val="continue"/>
            <w:shd w:val="clear" w:color="auto" w:fill="auto"/>
            <w:vAlign w:val="center"/>
          </w:tcPr>
          <w:p w14:paraId="2F8C0EDE">
            <w:pPr>
              <w:widowControl/>
              <w:jc w:val="left"/>
              <w:rPr>
                <w:rFonts w:ascii="仿宋" w:hAnsi="仿宋" w:eastAsia="仿宋" w:cs="宋体"/>
                <w:kern w:val="0"/>
                <w:sz w:val="18"/>
                <w:szCs w:val="18"/>
              </w:rPr>
            </w:pPr>
          </w:p>
        </w:tc>
        <w:tc>
          <w:tcPr>
            <w:tcW w:w="2175" w:type="dxa"/>
            <w:vMerge w:val="continue"/>
            <w:shd w:val="clear" w:color="auto" w:fill="auto"/>
            <w:vAlign w:val="center"/>
          </w:tcPr>
          <w:p w14:paraId="0934C967">
            <w:pPr>
              <w:widowControl/>
              <w:jc w:val="left"/>
              <w:rPr>
                <w:rFonts w:ascii="仿宋" w:hAnsi="仿宋" w:eastAsia="仿宋" w:cs="宋体"/>
                <w:kern w:val="0"/>
                <w:sz w:val="18"/>
                <w:szCs w:val="18"/>
              </w:rPr>
            </w:pPr>
          </w:p>
        </w:tc>
        <w:tc>
          <w:tcPr>
            <w:tcW w:w="3985" w:type="dxa"/>
            <w:shd w:val="clear" w:color="auto" w:fill="auto"/>
            <w:vAlign w:val="center"/>
          </w:tcPr>
          <w:p w14:paraId="5A4975D1">
            <w:pPr>
              <w:rPr>
                <w:rFonts w:ascii="仿宋" w:hAnsi="仿宋" w:eastAsia="仿宋" w:cs="宋体"/>
                <w:sz w:val="18"/>
                <w:szCs w:val="18"/>
              </w:rPr>
            </w:pPr>
            <w:r>
              <w:rPr>
                <w:rFonts w:hint="eastAsia" w:ascii="仿宋" w:hAnsi="仿宋" w:eastAsia="仿宋"/>
                <w:sz w:val="18"/>
                <w:szCs w:val="18"/>
              </w:rPr>
              <w:t>②  资金使用有完整的审批程序和手续，计2分；</w:t>
            </w:r>
          </w:p>
        </w:tc>
        <w:tc>
          <w:tcPr>
            <w:tcW w:w="1060" w:type="dxa"/>
            <w:vMerge w:val="continue"/>
            <w:shd w:val="clear" w:color="auto" w:fill="auto"/>
            <w:vAlign w:val="center"/>
          </w:tcPr>
          <w:p w14:paraId="6DB22411">
            <w:pPr>
              <w:widowControl/>
              <w:jc w:val="left"/>
              <w:rPr>
                <w:rFonts w:ascii="仿宋" w:hAnsi="仿宋" w:eastAsia="仿宋" w:cs="宋体"/>
                <w:kern w:val="0"/>
                <w:sz w:val="18"/>
                <w:szCs w:val="18"/>
              </w:rPr>
            </w:pPr>
          </w:p>
        </w:tc>
      </w:tr>
      <w:tr w14:paraId="7FCD16EC">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55" w:hRule="atLeast"/>
          <w:jc w:val="center"/>
        </w:trPr>
        <w:tc>
          <w:tcPr>
            <w:tcW w:w="1060" w:type="dxa"/>
            <w:vMerge w:val="continue"/>
            <w:shd w:val="clear" w:color="auto" w:fill="auto"/>
            <w:vAlign w:val="center"/>
          </w:tcPr>
          <w:p w14:paraId="2AD79926">
            <w:pPr>
              <w:widowControl/>
              <w:jc w:val="left"/>
              <w:rPr>
                <w:rFonts w:ascii="仿宋" w:hAnsi="仿宋" w:eastAsia="仿宋" w:cs="宋体"/>
                <w:kern w:val="0"/>
                <w:sz w:val="18"/>
                <w:szCs w:val="18"/>
              </w:rPr>
            </w:pPr>
          </w:p>
        </w:tc>
        <w:tc>
          <w:tcPr>
            <w:tcW w:w="1060" w:type="dxa"/>
            <w:vMerge w:val="continue"/>
            <w:shd w:val="clear" w:color="auto" w:fill="auto"/>
            <w:vAlign w:val="center"/>
          </w:tcPr>
          <w:p w14:paraId="6344A22D">
            <w:pPr>
              <w:widowControl/>
              <w:jc w:val="left"/>
              <w:rPr>
                <w:rFonts w:ascii="仿宋" w:hAnsi="仿宋" w:eastAsia="仿宋" w:cs="宋体"/>
                <w:kern w:val="0"/>
                <w:sz w:val="18"/>
                <w:szCs w:val="18"/>
              </w:rPr>
            </w:pPr>
          </w:p>
        </w:tc>
        <w:tc>
          <w:tcPr>
            <w:tcW w:w="2175" w:type="dxa"/>
            <w:vMerge w:val="continue"/>
            <w:shd w:val="clear" w:color="auto" w:fill="auto"/>
            <w:vAlign w:val="center"/>
          </w:tcPr>
          <w:p w14:paraId="5F4D0A71">
            <w:pPr>
              <w:widowControl/>
              <w:jc w:val="left"/>
              <w:rPr>
                <w:rFonts w:ascii="仿宋" w:hAnsi="仿宋" w:eastAsia="仿宋" w:cs="宋体"/>
                <w:kern w:val="0"/>
                <w:sz w:val="18"/>
                <w:szCs w:val="18"/>
              </w:rPr>
            </w:pPr>
          </w:p>
        </w:tc>
        <w:tc>
          <w:tcPr>
            <w:tcW w:w="3985" w:type="dxa"/>
            <w:shd w:val="clear" w:color="auto" w:fill="auto"/>
            <w:vAlign w:val="center"/>
          </w:tcPr>
          <w:p w14:paraId="0E68D331">
            <w:pPr>
              <w:rPr>
                <w:rFonts w:ascii="仿宋" w:hAnsi="仿宋" w:eastAsia="仿宋" w:cs="宋体"/>
                <w:sz w:val="18"/>
                <w:szCs w:val="18"/>
              </w:rPr>
            </w:pPr>
            <w:r>
              <w:rPr>
                <w:rFonts w:hint="eastAsia" w:ascii="仿宋" w:hAnsi="仿宋" w:eastAsia="仿宋"/>
                <w:sz w:val="18"/>
                <w:szCs w:val="18"/>
              </w:rPr>
              <w:t>③  资金支出符合项目预算批复或合同规定的用途，计2分；</w:t>
            </w:r>
          </w:p>
        </w:tc>
        <w:tc>
          <w:tcPr>
            <w:tcW w:w="1060" w:type="dxa"/>
            <w:vMerge w:val="continue"/>
            <w:shd w:val="clear" w:color="auto" w:fill="auto"/>
            <w:vAlign w:val="center"/>
          </w:tcPr>
          <w:p w14:paraId="210DE7A3">
            <w:pPr>
              <w:widowControl/>
              <w:jc w:val="left"/>
              <w:rPr>
                <w:rFonts w:ascii="仿宋" w:hAnsi="仿宋" w:eastAsia="仿宋" w:cs="宋体"/>
                <w:kern w:val="0"/>
                <w:sz w:val="18"/>
                <w:szCs w:val="18"/>
              </w:rPr>
            </w:pPr>
          </w:p>
        </w:tc>
      </w:tr>
      <w:tr w14:paraId="52A04C7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vMerge w:val="continue"/>
            <w:shd w:val="clear" w:color="auto" w:fill="auto"/>
            <w:vAlign w:val="center"/>
          </w:tcPr>
          <w:p w14:paraId="1406DF01">
            <w:pPr>
              <w:widowControl/>
              <w:jc w:val="left"/>
              <w:rPr>
                <w:rFonts w:ascii="仿宋" w:hAnsi="仿宋" w:eastAsia="仿宋" w:cs="宋体"/>
                <w:kern w:val="0"/>
                <w:sz w:val="18"/>
                <w:szCs w:val="18"/>
              </w:rPr>
            </w:pPr>
          </w:p>
        </w:tc>
        <w:tc>
          <w:tcPr>
            <w:tcW w:w="1060" w:type="dxa"/>
            <w:vMerge w:val="continue"/>
            <w:shd w:val="clear" w:color="auto" w:fill="auto"/>
            <w:vAlign w:val="center"/>
          </w:tcPr>
          <w:p w14:paraId="515E0100">
            <w:pPr>
              <w:widowControl/>
              <w:jc w:val="left"/>
              <w:rPr>
                <w:rFonts w:ascii="仿宋" w:hAnsi="仿宋" w:eastAsia="仿宋" w:cs="宋体"/>
                <w:kern w:val="0"/>
                <w:sz w:val="18"/>
                <w:szCs w:val="18"/>
              </w:rPr>
            </w:pPr>
          </w:p>
        </w:tc>
        <w:tc>
          <w:tcPr>
            <w:tcW w:w="2175" w:type="dxa"/>
            <w:vMerge w:val="continue"/>
            <w:shd w:val="clear" w:color="auto" w:fill="auto"/>
            <w:vAlign w:val="center"/>
          </w:tcPr>
          <w:p w14:paraId="48E67F8A">
            <w:pPr>
              <w:widowControl/>
              <w:jc w:val="left"/>
              <w:rPr>
                <w:rFonts w:ascii="仿宋" w:hAnsi="仿宋" w:eastAsia="仿宋" w:cs="宋体"/>
                <w:kern w:val="0"/>
                <w:sz w:val="18"/>
                <w:szCs w:val="18"/>
              </w:rPr>
            </w:pPr>
          </w:p>
        </w:tc>
        <w:tc>
          <w:tcPr>
            <w:tcW w:w="3985" w:type="dxa"/>
            <w:shd w:val="clear" w:color="auto" w:fill="auto"/>
            <w:vAlign w:val="center"/>
          </w:tcPr>
          <w:p w14:paraId="5DB54437">
            <w:pPr>
              <w:rPr>
                <w:rFonts w:ascii="仿宋" w:hAnsi="仿宋" w:eastAsia="仿宋" w:cs="宋体"/>
                <w:sz w:val="18"/>
                <w:szCs w:val="18"/>
              </w:rPr>
            </w:pPr>
            <w:r>
              <w:rPr>
                <w:rFonts w:hint="eastAsia" w:ascii="仿宋" w:hAnsi="仿宋" w:eastAsia="仿宋"/>
                <w:sz w:val="18"/>
                <w:szCs w:val="18"/>
              </w:rPr>
              <w:t>④  存在未专款专用，截留、挤占、挪用、虚列支出、超标列支相关费用等情况不得分，计0分。</w:t>
            </w:r>
          </w:p>
        </w:tc>
        <w:tc>
          <w:tcPr>
            <w:tcW w:w="1060" w:type="dxa"/>
            <w:vMerge w:val="continue"/>
            <w:shd w:val="clear" w:color="auto" w:fill="auto"/>
            <w:vAlign w:val="center"/>
          </w:tcPr>
          <w:p w14:paraId="09545559">
            <w:pPr>
              <w:widowControl/>
              <w:jc w:val="left"/>
              <w:rPr>
                <w:rFonts w:ascii="仿宋" w:hAnsi="仿宋" w:eastAsia="仿宋" w:cs="宋体"/>
                <w:kern w:val="0"/>
                <w:sz w:val="18"/>
                <w:szCs w:val="18"/>
              </w:rPr>
            </w:pPr>
          </w:p>
        </w:tc>
      </w:tr>
      <w:tr w14:paraId="6E89446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vMerge w:val="continue"/>
            <w:shd w:val="clear" w:color="auto" w:fill="auto"/>
            <w:vAlign w:val="center"/>
          </w:tcPr>
          <w:p w14:paraId="50B7F544">
            <w:pPr>
              <w:widowControl/>
              <w:jc w:val="left"/>
              <w:rPr>
                <w:rFonts w:ascii="仿宋" w:hAnsi="仿宋" w:eastAsia="仿宋" w:cs="宋体"/>
                <w:kern w:val="0"/>
                <w:sz w:val="18"/>
                <w:szCs w:val="18"/>
              </w:rPr>
            </w:pPr>
          </w:p>
        </w:tc>
        <w:tc>
          <w:tcPr>
            <w:tcW w:w="1060" w:type="dxa"/>
            <w:vMerge w:val="restart"/>
            <w:shd w:val="clear" w:color="auto" w:fill="auto"/>
            <w:vAlign w:val="center"/>
          </w:tcPr>
          <w:p w14:paraId="127F9DFA">
            <w:pPr>
              <w:widowControl/>
              <w:jc w:val="center"/>
              <w:rPr>
                <w:rFonts w:ascii="仿宋" w:hAnsi="仿宋" w:eastAsia="仿宋" w:cs="宋体"/>
                <w:kern w:val="0"/>
                <w:sz w:val="18"/>
                <w:szCs w:val="18"/>
              </w:rPr>
            </w:pPr>
            <w:r>
              <w:rPr>
                <w:rFonts w:hint="eastAsia" w:ascii="仿宋" w:hAnsi="仿宋" w:eastAsia="仿宋" w:cs="宋体"/>
                <w:kern w:val="0"/>
                <w:sz w:val="18"/>
                <w:szCs w:val="18"/>
              </w:rPr>
              <w:t>组织实施</w:t>
            </w:r>
            <w:r>
              <w:rPr>
                <w:rFonts w:hint="eastAsia" w:ascii="仿宋" w:hAnsi="仿宋" w:eastAsia="仿宋" w:cs="宋体"/>
                <w:kern w:val="0"/>
                <w:sz w:val="18"/>
                <w:szCs w:val="18"/>
              </w:rPr>
              <w:br w:type="textWrapping"/>
            </w:r>
            <w:r>
              <w:rPr>
                <w:rFonts w:hint="eastAsia" w:ascii="仿宋" w:hAnsi="仿宋" w:eastAsia="仿宋" w:cs="宋体"/>
                <w:kern w:val="0"/>
                <w:sz w:val="18"/>
                <w:szCs w:val="18"/>
              </w:rPr>
              <w:t>（12分）</w:t>
            </w:r>
          </w:p>
        </w:tc>
        <w:tc>
          <w:tcPr>
            <w:tcW w:w="2175" w:type="dxa"/>
            <w:vMerge w:val="restart"/>
            <w:shd w:val="clear" w:color="auto" w:fill="auto"/>
            <w:vAlign w:val="center"/>
          </w:tcPr>
          <w:p w14:paraId="01645F81">
            <w:pPr>
              <w:widowControl/>
              <w:jc w:val="left"/>
              <w:rPr>
                <w:rFonts w:ascii="仿宋" w:hAnsi="仿宋" w:eastAsia="仿宋" w:cs="宋体"/>
                <w:kern w:val="0"/>
                <w:sz w:val="18"/>
                <w:szCs w:val="18"/>
              </w:rPr>
            </w:pPr>
            <w:r>
              <w:rPr>
                <w:rFonts w:hint="eastAsia" w:ascii="仿宋" w:hAnsi="仿宋" w:eastAsia="仿宋" w:cs="宋体"/>
                <w:kern w:val="0"/>
                <w:sz w:val="18"/>
                <w:szCs w:val="18"/>
              </w:rPr>
              <w:t>管理制度健全性（4分）</w:t>
            </w:r>
          </w:p>
        </w:tc>
        <w:tc>
          <w:tcPr>
            <w:tcW w:w="3985" w:type="dxa"/>
            <w:shd w:val="clear" w:color="auto" w:fill="auto"/>
            <w:vAlign w:val="center"/>
          </w:tcPr>
          <w:p w14:paraId="5B46B421">
            <w:pPr>
              <w:rPr>
                <w:rFonts w:ascii="仿宋" w:hAnsi="仿宋" w:eastAsia="仿宋" w:cs="宋体"/>
                <w:sz w:val="18"/>
                <w:szCs w:val="18"/>
              </w:rPr>
            </w:pPr>
            <w:r>
              <w:rPr>
                <w:rFonts w:hint="eastAsia" w:ascii="仿宋" w:hAnsi="仿宋" w:eastAsia="仿宋"/>
                <w:sz w:val="18"/>
                <w:szCs w:val="18"/>
              </w:rPr>
              <w:t>①  未制定专项资金管理制度和项目管理制度不得分，计0分。</w:t>
            </w:r>
          </w:p>
        </w:tc>
        <w:tc>
          <w:tcPr>
            <w:tcW w:w="1060" w:type="dxa"/>
            <w:vMerge w:val="restart"/>
            <w:shd w:val="clear" w:color="auto" w:fill="auto"/>
            <w:noWrap/>
            <w:vAlign w:val="center"/>
          </w:tcPr>
          <w:p w14:paraId="616DCBD3">
            <w:pPr>
              <w:widowControl/>
              <w:jc w:val="center"/>
              <w:rPr>
                <w:rFonts w:ascii="仿宋" w:hAnsi="仿宋" w:eastAsia="仿宋" w:cs="宋体"/>
                <w:kern w:val="0"/>
                <w:sz w:val="18"/>
                <w:szCs w:val="18"/>
              </w:rPr>
            </w:pPr>
            <w:r>
              <w:rPr>
                <w:rFonts w:hint="eastAsia" w:ascii="仿宋" w:hAnsi="仿宋" w:eastAsia="仿宋" w:cs="宋体"/>
                <w:kern w:val="0"/>
                <w:sz w:val="18"/>
                <w:szCs w:val="18"/>
              </w:rPr>
              <w:t>4</w:t>
            </w:r>
          </w:p>
        </w:tc>
      </w:tr>
      <w:tr w14:paraId="017D0F8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2" w:hRule="atLeast"/>
          <w:jc w:val="center"/>
        </w:trPr>
        <w:tc>
          <w:tcPr>
            <w:tcW w:w="1060" w:type="dxa"/>
            <w:vMerge w:val="continue"/>
            <w:shd w:val="clear" w:color="auto" w:fill="auto"/>
            <w:vAlign w:val="center"/>
          </w:tcPr>
          <w:p w14:paraId="5B029567">
            <w:pPr>
              <w:widowControl/>
              <w:jc w:val="left"/>
              <w:rPr>
                <w:rFonts w:ascii="仿宋" w:hAnsi="仿宋" w:eastAsia="仿宋" w:cs="宋体"/>
                <w:kern w:val="0"/>
                <w:sz w:val="18"/>
                <w:szCs w:val="18"/>
              </w:rPr>
            </w:pPr>
          </w:p>
        </w:tc>
        <w:tc>
          <w:tcPr>
            <w:tcW w:w="1060" w:type="dxa"/>
            <w:vMerge w:val="continue"/>
            <w:shd w:val="clear" w:color="auto" w:fill="auto"/>
            <w:vAlign w:val="center"/>
          </w:tcPr>
          <w:p w14:paraId="6A7270AF">
            <w:pPr>
              <w:widowControl/>
              <w:jc w:val="left"/>
              <w:rPr>
                <w:rFonts w:ascii="仿宋" w:hAnsi="仿宋" w:eastAsia="仿宋" w:cs="宋体"/>
                <w:kern w:val="0"/>
                <w:sz w:val="18"/>
                <w:szCs w:val="18"/>
              </w:rPr>
            </w:pPr>
          </w:p>
        </w:tc>
        <w:tc>
          <w:tcPr>
            <w:tcW w:w="2175" w:type="dxa"/>
            <w:vMerge w:val="continue"/>
            <w:shd w:val="clear" w:color="auto" w:fill="auto"/>
            <w:vAlign w:val="center"/>
          </w:tcPr>
          <w:p w14:paraId="18E6C197">
            <w:pPr>
              <w:widowControl/>
              <w:jc w:val="left"/>
              <w:rPr>
                <w:rFonts w:ascii="仿宋" w:hAnsi="仿宋" w:eastAsia="仿宋" w:cs="宋体"/>
                <w:kern w:val="0"/>
                <w:sz w:val="18"/>
                <w:szCs w:val="18"/>
              </w:rPr>
            </w:pPr>
          </w:p>
        </w:tc>
        <w:tc>
          <w:tcPr>
            <w:tcW w:w="3985" w:type="dxa"/>
            <w:shd w:val="clear" w:color="auto" w:fill="auto"/>
            <w:vAlign w:val="center"/>
          </w:tcPr>
          <w:p w14:paraId="1CAC447A">
            <w:pPr>
              <w:rPr>
                <w:rFonts w:ascii="仿宋" w:hAnsi="仿宋" w:eastAsia="仿宋" w:cs="宋体"/>
                <w:sz w:val="18"/>
                <w:szCs w:val="18"/>
              </w:rPr>
            </w:pPr>
            <w:r>
              <w:rPr>
                <w:rFonts w:hint="eastAsia" w:ascii="仿宋" w:hAnsi="仿宋" w:eastAsia="仿宋"/>
                <w:sz w:val="18"/>
                <w:szCs w:val="18"/>
              </w:rPr>
              <w:t>②  制定了专项资金管理制度和项目管理制度，但不健全，计2分；</w:t>
            </w:r>
          </w:p>
        </w:tc>
        <w:tc>
          <w:tcPr>
            <w:tcW w:w="1060" w:type="dxa"/>
            <w:vMerge w:val="continue"/>
            <w:shd w:val="clear" w:color="auto" w:fill="auto"/>
            <w:vAlign w:val="center"/>
          </w:tcPr>
          <w:p w14:paraId="262BF534">
            <w:pPr>
              <w:widowControl/>
              <w:jc w:val="left"/>
              <w:rPr>
                <w:rFonts w:ascii="仿宋" w:hAnsi="仿宋" w:eastAsia="仿宋" w:cs="宋体"/>
                <w:kern w:val="0"/>
                <w:sz w:val="18"/>
                <w:szCs w:val="18"/>
              </w:rPr>
            </w:pPr>
          </w:p>
        </w:tc>
      </w:tr>
      <w:tr w14:paraId="6C8F238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jc w:val="center"/>
        </w:trPr>
        <w:tc>
          <w:tcPr>
            <w:tcW w:w="1060" w:type="dxa"/>
            <w:vMerge w:val="continue"/>
            <w:shd w:val="clear" w:color="auto" w:fill="auto"/>
            <w:vAlign w:val="center"/>
          </w:tcPr>
          <w:p w14:paraId="6AAFEB93">
            <w:pPr>
              <w:widowControl/>
              <w:jc w:val="left"/>
              <w:rPr>
                <w:rFonts w:ascii="仿宋" w:hAnsi="仿宋" w:eastAsia="仿宋" w:cs="宋体"/>
                <w:kern w:val="0"/>
                <w:sz w:val="18"/>
                <w:szCs w:val="18"/>
              </w:rPr>
            </w:pPr>
          </w:p>
        </w:tc>
        <w:tc>
          <w:tcPr>
            <w:tcW w:w="1060" w:type="dxa"/>
            <w:vMerge w:val="continue"/>
            <w:shd w:val="clear" w:color="auto" w:fill="auto"/>
            <w:vAlign w:val="center"/>
          </w:tcPr>
          <w:p w14:paraId="1DBEAD40">
            <w:pPr>
              <w:widowControl/>
              <w:jc w:val="left"/>
              <w:rPr>
                <w:rFonts w:ascii="仿宋" w:hAnsi="仿宋" w:eastAsia="仿宋" w:cs="宋体"/>
                <w:kern w:val="0"/>
                <w:sz w:val="18"/>
                <w:szCs w:val="18"/>
              </w:rPr>
            </w:pPr>
          </w:p>
        </w:tc>
        <w:tc>
          <w:tcPr>
            <w:tcW w:w="2175" w:type="dxa"/>
            <w:vMerge w:val="continue"/>
            <w:shd w:val="clear" w:color="auto" w:fill="auto"/>
            <w:vAlign w:val="center"/>
          </w:tcPr>
          <w:p w14:paraId="4F61C4B8">
            <w:pPr>
              <w:widowControl/>
              <w:jc w:val="left"/>
              <w:rPr>
                <w:rFonts w:ascii="仿宋" w:hAnsi="仿宋" w:eastAsia="仿宋" w:cs="宋体"/>
                <w:kern w:val="0"/>
                <w:sz w:val="18"/>
                <w:szCs w:val="18"/>
              </w:rPr>
            </w:pPr>
          </w:p>
        </w:tc>
        <w:tc>
          <w:tcPr>
            <w:tcW w:w="3985" w:type="dxa"/>
            <w:shd w:val="clear" w:color="auto" w:fill="auto"/>
            <w:vAlign w:val="center"/>
          </w:tcPr>
          <w:p w14:paraId="65320E23">
            <w:pPr>
              <w:rPr>
                <w:rFonts w:ascii="仿宋" w:hAnsi="仿宋" w:eastAsia="仿宋" w:cs="宋体"/>
                <w:sz w:val="18"/>
                <w:szCs w:val="18"/>
              </w:rPr>
            </w:pPr>
            <w:r>
              <w:rPr>
                <w:rFonts w:hint="eastAsia" w:ascii="仿宋" w:hAnsi="仿宋" w:eastAsia="仿宋"/>
                <w:sz w:val="18"/>
                <w:szCs w:val="18"/>
              </w:rPr>
              <w:t>③  制定合理、健全的专项资金管理制度和项目管理制度，计4分；</w:t>
            </w:r>
          </w:p>
        </w:tc>
        <w:tc>
          <w:tcPr>
            <w:tcW w:w="1060" w:type="dxa"/>
            <w:vMerge w:val="continue"/>
            <w:shd w:val="clear" w:color="auto" w:fill="auto"/>
            <w:vAlign w:val="center"/>
          </w:tcPr>
          <w:p w14:paraId="0D438E53">
            <w:pPr>
              <w:widowControl/>
              <w:jc w:val="left"/>
              <w:rPr>
                <w:rFonts w:ascii="仿宋" w:hAnsi="仿宋" w:eastAsia="仿宋" w:cs="宋体"/>
                <w:kern w:val="0"/>
                <w:sz w:val="18"/>
                <w:szCs w:val="18"/>
              </w:rPr>
            </w:pPr>
          </w:p>
        </w:tc>
      </w:tr>
      <w:tr w14:paraId="36E3E4A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48" w:hRule="atLeast"/>
          <w:jc w:val="center"/>
        </w:trPr>
        <w:tc>
          <w:tcPr>
            <w:tcW w:w="1060" w:type="dxa"/>
            <w:vMerge w:val="continue"/>
            <w:shd w:val="clear" w:color="auto" w:fill="auto"/>
            <w:vAlign w:val="center"/>
          </w:tcPr>
          <w:p w14:paraId="32B2AFC2">
            <w:pPr>
              <w:widowControl/>
              <w:jc w:val="left"/>
              <w:rPr>
                <w:rFonts w:ascii="仿宋" w:hAnsi="仿宋" w:eastAsia="仿宋" w:cs="宋体"/>
                <w:kern w:val="0"/>
                <w:sz w:val="18"/>
                <w:szCs w:val="18"/>
              </w:rPr>
            </w:pPr>
          </w:p>
        </w:tc>
        <w:tc>
          <w:tcPr>
            <w:tcW w:w="1060" w:type="dxa"/>
            <w:vMerge w:val="continue"/>
            <w:shd w:val="clear" w:color="auto" w:fill="auto"/>
            <w:vAlign w:val="center"/>
          </w:tcPr>
          <w:p w14:paraId="5FC18BC7">
            <w:pPr>
              <w:widowControl/>
              <w:jc w:val="left"/>
              <w:rPr>
                <w:rFonts w:ascii="仿宋" w:hAnsi="仿宋" w:eastAsia="仿宋" w:cs="宋体"/>
                <w:kern w:val="0"/>
                <w:sz w:val="18"/>
                <w:szCs w:val="18"/>
              </w:rPr>
            </w:pPr>
          </w:p>
        </w:tc>
        <w:tc>
          <w:tcPr>
            <w:tcW w:w="2175" w:type="dxa"/>
            <w:vMerge w:val="restart"/>
            <w:shd w:val="clear" w:color="auto" w:fill="auto"/>
            <w:vAlign w:val="center"/>
          </w:tcPr>
          <w:p w14:paraId="3CBF7958">
            <w:pPr>
              <w:widowControl/>
              <w:jc w:val="left"/>
              <w:rPr>
                <w:rFonts w:ascii="仿宋" w:hAnsi="仿宋" w:eastAsia="仿宋" w:cs="宋体"/>
                <w:kern w:val="0"/>
                <w:sz w:val="18"/>
                <w:szCs w:val="18"/>
              </w:rPr>
            </w:pPr>
            <w:r>
              <w:rPr>
                <w:rFonts w:hint="eastAsia" w:ascii="仿宋" w:hAnsi="仿宋" w:eastAsia="仿宋" w:cs="宋体"/>
                <w:kern w:val="0"/>
                <w:sz w:val="18"/>
                <w:szCs w:val="18"/>
              </w:rPr>
              <w:t>制度执行有效性（8分）</w:t>
            </w:r>
          </w:p>
        </w:tc>
        <w:tc>
          <w:tcPr>
            <w:tcW w:w="3985" w:type="dxa"/>
            <w:shd w:val="clear" w:color="auto" w:fill="auto"/>
            <w:vAlign w:val="center"/>
          </w:tcPr>
          <w:p w14:paraId="1B96E3A8">
            <w:pPr>
              <w:rPr>
                <w:rFonts w:ascii="仿宋" w:hAnsi="仿宋" w:eastAsia="仿宋" w:cs="宋体"/>
                <w:sz w:val="18"/>
                <w:szCs w:val="18"/>
              </w:rPr>
            </w:pPr>
            <w:r>
              <w:rPr>
                <w:rFonts w:hint="eastAsia" w:ascii="仿宋" w:hAnsi="仿宋" w:eastAsia="仿宋"/>
                <w:sz w:val="18"/>
                <w:szCs w:val="18"/>
              </w:rPr>
              <w:t>①  项目实施符合专项资金管理制度和项目管理制度规定，计2分；</w:t>
            </w:r>
          </w:p>
        </w:tc>
        <w:tc>
          <w:tcPr>
            <w:tcW w:w="1060" w:type="dxa"/>
            <w:vMerge w:val="restart"/>
            <w:shd w:val="clear" w:color="auto" w:fill="auto"/>
            <w:noWrap/>
            <w:vAlign w:val="center"/>
          </w:tcPr>
          <w:p w14:paraId="21ADA895">
            <w:pPr>
              <w:widowControl/>
              <w:jc w:val="center"/>
              <w:rPr>
                <w:rFonts w:ascii="仿宋" w:hAnsi="仿宋" w:eastAsia="仿宋" w:cs="宋体"/>
                <w:kern w:val="0"/>
                <w:sz w:val="18"/>
                <w:szCs w:val="18"/>
              </w:rPr>
            </w:pPr>
            <w:r>
              <w:rPr>
                <w:rFonts w:hint="eastAsia" w:ascii="仿宋" w:hAnsi="仿宋" w:eastAsia="仿宋" w:cs="宋体"/>
                <w:kern w:val="0"/>
                <w:sz w:val="18"/>
                <w:szCs w:val="18"/>
              </w:rPr>
              <w:t>8</w:t>
            </w:r>
          </w:p>
        </w:tc>
      </w:tr>
      <w:tr w14:paraId="4A5357F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66" w:hRule="atLeast"/>
          <w:jc w:val="center"/>
        </w:trPr>
        <w:tc>
          <w:tcPr>
            <w:tcW w:w="1060" w:type="dxa"/>
            <w:vMerge w:val="continue"/>
            <w:shd w:val="clear" w:color="auto" w:fill="auto"/>
            <w:vAlign w:val="center"/>
          </w:tcPr>
          <w:p w14:paraId="246D6686">
            <w:pPr>
              <w:widowControl/>
              <w:jc w:val="left"/>
              <w:rPr>
                <w:rFonts w:ascii="仿宋" w:hAnsi="仿宋" w:eastAsia="仿宋" w:cs="宋体"/>
                <w:kern w:val="0"/>
                <w:sz w:val="18"/>
                <w:szCs w:val="18"/>
              </w:rPr>
            </w:pPr>
          </w:p>
        </w:tc>
        <w:tc>
          <w:tcPr>
            <w:tcW w:w="1060" w:type="dxa"/>
            <w:vMerge w:val="continue"/>
            <w:shd w:val="clear" w:color="auto" w:fill="auto"/>
            <w:vAlign w:val="center"/>
          </w:tcPr>
          <w:p w14:paraId="416FE73E">
            <w:pPr>
              <w:widowControl/>
              <w:jc w:val="left"/>
              <w:rPr>
                <w:rFonts w:ascii="仿宋" w:hAnsi="仿宋" w:eastAsia="仿宋" w:cs="宋体"/>
                <w:kern w:val="0"/>
                <w:sz w:val="18"/>
                <w:szCs w:val="18"/>
              </w:rPr>
            </w:pPr>
          </w:p>
        </w:tc>
        <w:tc>
          <w:tcPr>
            <w:tcW w:w="2175" w:type="dxa"/>
            <w:vMerge w:val="continue"/>
            <w:shd w:val="clear" w:color="auto" w:fill="auto"/>
            <w:vAlign w:val="center"/>
          </w:tcPr>
          <w:p w14:paraId="079383AC">
            <w:pPr>
              <w:widowControl/>
              <w:jc w:val="left"/>
              <w:rPr>
                <w:rFonts w:ascii="仿宋" w:hAnsi="仿宋" w:eastAsia="仿宋" w:cs="宋体"/>
                <w:kern w:val="0"/>
                <w:sz w:val="18"/>
                <w:szCs w:val="18"/>
              </w:rPr>
            </w:pPr>
          </w:p>
        </w:tc>
        <w:tc>
          <w:tcPr>
            <w:tcW w:w="3985" w:type="dxa"/>
            <w:shd w:val="clear" w:color="auto" w:fill="auto"/>
            <w:vAlign w:val="center"/>
          </w:tcPr>
          <w:p w14:paraId="0437150C">
            <w:pPr>
              <w:rPr>
                <w:rFonts w:ascii="仿宋" w:hAnsi="仿宋" w:eastAsia="仿宋" w:cs="宋体"/>
                <w:sz w:val="18"/>
                <w:szCs w:val="18"/>
              </w:rPr>
            </w:pPr>
            <w:r>
              <w:rPr>
                <w:rFonts w:hint="eastAsia" w:ascii="仿宋" w:hAnsi="仿宋" w:eastAsia="仿宋"/>
                <w:sz w:val="18"/>
                <w:szCs w:val="18"/>
              </w:rPr>
              <w:t>②  执行相应的流程标准，计2分；</w:t>
            </w:r>
          </w:p>
        </w:tc>
        <w:tc>
          <w:tcPr>
            <w:tcW w:w="1060" w:type="dxa"/>
            <w:vMerge w:val="continue"/>
            <w:shd w:val="clear" w:color="auto" w:fill="auto"/>
            <w:noWrap/>
            <w:vAlign w:val="center"/>
          </w:tcPr>
          <w:p w14:paraId="17EE7763">
            <w:pPr>
              <w:widowControl/>
              <w:jc w:val="center"/>
              <w:rPr>
                <w:rFonts w:ascii="仿宋" w:hAnsi="仿宋" w:eastAsia="仿宋" w:cs="宋体"/>
                <w:kern w:val="0"/>
                <w:sz w:val="18"/>
                <w:szCs w:val="18"/>
              </w:rPr>
            </w:pPr>
          </w:p>
        </w:tc>
      </w:tr>
      <w:tr w14:paraId="2144367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vMerge w:val="continue"/>
            <w:shd w:val="clear" w:color="auto" w:fill="auto"/>
            <w:vAlign w:val="center"/>
          </w:tcPr>
          <w:p w14:paraId="3251C7C6">
            <w:pPr>
              <w:widowControl/>
              <w:jc w:val="left"/>
              <w:rPr>
                <w:rFonts w:ascii="仿宋" w:hAnsi="仿宋" w:eastAsia="仿宋" w:cs="宋体"/>
                <w:kern w:val="0"/>
                <w:sz w:val="18"/>
                <w:szCs w:val="18"/>
              </w:rPr>
            </w:pPr>
          </w:p>
        </w:tc>
        <w:tc>
          <w:tcPr>
            <w:tcW w:w="1060" w:type="dxa"/>
            <w:vMerge w:val="continue"/>
            <w:shd w:val="clear" w:color="auto" w:fill="auto"/>
            <w:vAlign w:val="center"/>
          </w:tcPr>
          <w:p w14:paraId="0EF54EE3">
            <w:pPr>
              <w:widowControl/>
              <w:jc w:val="left"/>
              <w:rPr>
                <w:rFonts w:ascii="仿宋" w:hAnsi="仿宋" w:eastAsia="仿宋" w:cs="宋体"/>
                <w:kern w:val="0"/>
                <w:sz w:val="18"/>
                <w:szCs w:val="18"/>
              </w:rPr>
            </w:pPr>
          </w:p>
        </w:tc>
        <w:tc>
          <w:tcPr>
            <w:tcW w:w="2175" w:type="dxa"/>
            <w:vMerge w:val="continue"/>
            <w:shd w:val="clear" w:color="auto" w:fill="auto"/>
            <w:vAlign w:val="center"/>
          </w:tcPr>
          <w:p w14:paraId="3D20E41D">
            <w:pPr>
              <w:widowControl/>
              <w:jc w:val="left"/>
              <w:rPr>
                <w:rFonts w:ascii="仿宋" w:hAnsi="仿宋" w:eastAsia="仿宋" w:cs="宋体"/>
                <w:kern w:val="0"/>
                <w:sz w:val="18"/>
                <w:szCs w:val="18"/>
              </w:rPr>
            </w:pPr>
          </w:p>
        </w:tc>
        <w:tc>
          <w:tcPr>
            <w:tcW w:w="3985" w:type="dxa"/>
            <w:shd w:val="clear" w:color="auto" w:fill="auto"/>
            <w:vAlign w:val="center"/>
          </w:tcPr>
          <w:p w14:paraId="56D4BB14">
            <w:pPr>
              <w:rPr>
                <w:rFonts w:ascii="仿宋" w:hAnsi="仿宋" w:eastAsia="仿宋" w:cs="宋体"/>
                <w:sz w:val="18"/>
                <w:szCs w:val="18"/>
              </w:rPr>
            </w:pPr>
            <w:r>
              <w:rPr>
                <w:rFonts w:hint="eastAsia" w:ascii="仿宋" w:hAnsi="仿宋" w:eastAsia="仿宋"/>
                <w:sz w:val="18"/>
                <w:szCs w:val="18"/>
              </w:rPr>
              <w:t>③  项目实施过程中相关批复文件、合作协议、审计报告等资料齐全，计2分；</w:t>
            </w:r>
          </w:p>
        </w:tc>
        <w:tc>
          <w:tcPr>
            <w:tcW w:w="1060" w:type="dxa"/>
            <w:vMerge w:val="continue"/>
            <w:shd w:val="clear" w:color="auto" w:fill="auto"/>
            <w:noWrap/>
            <w:vAlign w:val="center"/>
          </w:tcPr>
          <w:p w14:paraId="66508BFE">
            <w:pPr>
              <w:widowControl/>
              <w:jc w:val="center"/>
              <w:rPr>
                <w:rFonts w:ascii="仿宋" w:hAnsi="仿宋" w:eastAsia="仿宋" w:cs="宋体"/>
                <w:kern w:val="0"/>
                <w:sz w:val="18"/>
                <w:szCs w:val="18"/>
              </w:rPr>
            </w:pPr>
          </w:p>
        </w:tc>
      </w:tr>
      <w:tr w14:paraId="4C6CC1B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vMerge w:val="continue"/>
            <w:shd w:val="clear" w:color="auto" w:fill="auto"/>
            <w:vAlign w:val="center"/>
          </w:tcPr>
          <w:p w14:paraId="670F5670">
            <w:pPr>
              <w:widowControl/>
              <w:jc w:val="left"/>
              <w:rPr>
                <w:rFonts w:ascii="仿宋" w:hAnsi="仿宋" w:eastAsia="仿宋" w:cs="宋体"/>
                <w:kern w:val="0"/>
                <w:sz w:val="18"/>
                <w:szCs w:val="18"/>
              </w:rPr>
            </w:pPr>
          </w:p>
        </w:tc>
        <w:tc>
          <w:tcPr>
            <w:tcW w:w="1060" w:type="dxa"/>
            <w:vMerge w:val="continue"/>
            <w:shd w:val="clear" w:color="auto" w:fill="auto"/>
            <w:vAlign w:val="center"/>
          </w:tcPr>
          <w:p w14:paraId="0C4251C2">
            <w:pPr>
              <w:widowControl/>
              <w:jc w:val="left"/>
              <w:rPr>
                <w:rFonts w:ascii="仿宋" w:hAnsi="仿宋" w:eastAsia="仿宋" w:cs="宋体"/>
                <w:kern w:val="0"/>
                <w:sz w:val="18"/>
                <w:szCs w:val="18"/>
              </w:rPr>
            </w:pPr>
          </w:p>
        </w:tc>
        <w:tc>
          <w:tcPr>
            <w:tcW w:w="2175" w:type="dxa"/>
            <w:vMerge w:val="continue"/>
            <w:shd w:val="clear" w:color="auto" w:fill="auto"/>
            <w:vAlign w:val="center"/>
          </w:tcPr>
          <w:p w14:paraId="6D4E256F">
            <w:pPr>
              <w:widowControl/>
              <w:jc w:val="left"/>
              <w:rPr>
                <w:rFonts w:ascii="仿宋" w:hAnsi="仿宋" w:eastAsia="仿宋" w:cs="宋体"/>
                <w:kern w:val="0"/>
                <w:sz w:val="18"/>
                <w:szCs w:val="18"/>
              </w:rPr>
            </w:pPr>
          </w:p>
        </w:tc>
        <w:tc>
          <w:tcPr>
            <w:tcW w:w="3985" w:type="dxa"/>
            <w:shd w:val="clear" w:color="auto" w:fill="auto"/>
            <w:vAlign w:val="center"/>
          </w:tcPr>
          <w:p w14:paraId="40CA3C6C">
            <w:pPr>
              <w:rPr>
                <w:rFonts w:ascii="仿宋" w:hAnsi="仿宋" w:eastAsia="仿宋" w:cs="宋体"/>
                <w:sz w:val="18"/>
                <w:szCs w:val="18"/>
              </w:rPr>
            </w:pPr>
            <w:r>
              <w:rPr>
                <w:rFonts w:hint="eastAsia" w:ascii="仿宋" w:hAnsi="仿宋" w:eastAsia="仿宋"/>
                <w:sz w:val="18"/>
                <w:szCs w:val="18"/>
              </w:rPr>
              <w:t>④  采取相应的财务检查等必要的监控措施，保障资金规范运行，计2分。</w:t>
            </w:r>
          </w:p>
        </w:tc>
        <w:tc>
          <w:tcPr>
            <w:tcW w:w="1060" w:type="dxa"/>
            <w:vMerge w:val="continue"/>
            <w:shd w:val="clear" w:color="auto" w:fill="auto"/>
            <w:vAlign w:val="center"/>
          </w:tcPr>
          <w:p w14:paraId="15190167">
            <w:pPr>
              <w:widowControl/>
              <w:jc w:val="left"/>
              <w:rPr>
                <w:rFonts w:ascii="仿宋" w:hAnsi="仿宋" w:eastAsia="仿宋" w:cs="宋体"/>
                <w:kern w:val="0"/>
                <w:sz w:val="18"/>
                <w:szCs w:val="18"/>
              </w:rPr>
            </w:pPr>
          </w:p>
        </w:tc>
      </w:tr>
      <w:tr w14:paraId="2D17707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shd w:val="clear" w:color="auto" w:fill="auto"/>
            <w:vAlign w:val="center"/>
          </w:tcPr>
          <w:p w14:paraId="60F35191">
            <w:pPr>
              <w:widowControl/>
              <w:jc w:val="center"/>
              <w:rPr>
                <w:rFonts w:ascii="仿宋" w:hAnsi="仿宋" w:eastAsia="仿宋" w:cs="宋体"/>
                <w:b/>
                <w:kern w:val="0"/>
                <w:sz w:val="18"/>
                <w:szCs w:val="18"/>
              </w:rPr>
            </w:pPr>
            <w:r>
              <w:rPr>
                <w:rFonts w:ascii="仿宋" w:hAnsi="仿宋" w:eastAsia="仿宋" w:cs="宋体"/>
                <w:b/>
                <w:kern w:val="0"/>
                <w:sz w:val="18"/>
                <w:szCs w:val="18"/>
              </w:rPr>
              <w:t>小计</w:t>
            </w:r>
          </w:p>
        </w:tc>
        <w:tc>
          <w:tcPr>
            <w:tcW w:w="1060" w:type="dxa"/>
            <w:shd w:val="clear" w:color="auto" w:fill="auto"/>
            <w:vAlign w:val="center"/>
          </w:tcPr>
          <w:p w14:paraId="01C84C57">
            <w:pPr>
              <w:widowControl/>
              <w:jc w:val="center"/>
              <w:rPr>
                <w:rFonts w:ascii="仿宋" w:hAnsi="仿宋" w:eastAsia="仿宋" w:cs="宋体"/>
                <w:b/>
                <w:kern w:val="0"/>
                <w:sz w:val="18"/>
                <w:szCs w:val="18"/>
              </w:rPr>
            </w:pPr>
            <w:r>
              <w:rPr>
                <w:rFonts w:hint="eastAsia" w:ascii="仿宋" w:hAnsi="仿宋" w:eastAsia="仿宋" w:cs="宋体"/>
                <w:b/>
                <w:kern w:val="0"/>
                <w:sz w:val="18"/>
                <w:szCs w:val="18"/>
              </w:rPr>
              <w:t>24</w:t>
            </w:r>
          </w:p>
        </w:tc>
        <w:tc>
          <w:tcPr>
            <w:tcW w:w="2175" w:type="dxa"/>
            <w:shd w:val="clear" w:color="auto" w:fill="auto"/>
            <w:vAlign w:val="center"/>
          </w:tcPr>
          <w:p w14:paraId="755D9EBE">
            <w:pPr>
              <w:widowControl/>
              <w:jc w:val="center"/>
              <w:rPr>
                <w:rFonts w:ascii="仿宋" w:hAnsi="仿宋" w:eastAsia="仿宋" w:cs="宋体"/>
                <w:b/>
                <w:kern w:val="0"/>
                <w:sz w:val="18"/>
                <w:szCs w:val="18"/>
              </w:rPr>
            </w:pPr>
            <w:r>
              <w:rPr>
                <w:rFonts w:hint="eastAsia" w:ascii="仿宋" w:hAnsi="仿宋" w:eastAsia="仿宋" w:cs="宋体"/>
                <w:b/>
                <w:kern w:val="0"/>
                <w:sz w:val="18"/>
                <w:szCs w:val="18"/>
              </w:rPr>
              <w:t>24</w:t>
            </w:r>
          </w:p>
        </w:tc>
        <w:tc>
          <w:tcPr>
            <w:tcW w:w="3985" w:type="dxa"/>
            <w:shd w:val="clear" w:color="auto" w:fill="auto"/>
            <w:vAlign w:val="center"/>
          </w:tcPr>
          <w:p w14:paraId="5931F33D">
            <w:pPr>
              <w:widowControl/>
              <w:jc w:val="center"/>
              <w:rPr>
                <w:rFonts w:ascii="仿宋" w:hAnsi="仿宋" w:eastAsia="仿宋" w:cs="宋体"/>
                <w:b/>
                <w:kern w:val="0"/>
                <w:sz w:val="18"/>
                <w:szCs w:val="18"/>
              </w:rPr>
            </w:pPr>
            <w:r>
              <w:rPr>
                <w:rFonts w:hint="eastAsia" w:ascii="仿宋" w:hAnsi="仿宋" w:eastAsia="仿宋" w:cs="宋体"/>
                <w:b/>
                <w:kern w:val="0"/>
                <w:sz w:val="18"/>
                <w:szCs w:val="18"/>
              </w:rPr>
              <w:t>——</w:t>
            </w:r>
          </w:p>
        </w:tc>
        <w:tc>
          <w:tcPr>
            <w:tcW w:w="1060" w:type="dxa"/>
            <w:shd w:val="clear" w:color="auto" w:fill="auto"/>
            <w:vAlign w:val="center"/>
          </w:tcPr>
          <w:p w14:paraId="06DAE295">
            <w:pPr>
              <w:widowControl/>
              <w:jc w:val="center"/>
              <w:rPr>
                <w:rFonts w:ascii="仿宋" w:hAnsi="仿宋" w:eastAsia="仿宋" w:cs="宋体"/>
                <w:b/>
                <w:kern w:val="0"/>
                <w:sz w:val="18"/>
                <w:szCs w:val="18"/>
              </w:rPr>
            </w:pPr>
            <w:r>
              <w:rPr>
                <w:rFonts w:hint="eastAsia" w:ascii="仿宋" w:hAnsi="仿宋" w:eastAsia="仿宋" w:cs="宋体"/>
                <w:b/>
                <w:kern w:val="0"/>
                <w:sz w:val="18"/>
                <w:szCs w:val="18"/>
              </w:rPr>
              <w:t>24</w:t>
            </w:r>
          </w:p>
        </w:tc>
      </w:tr>
    </w:tbl>
    <w:p w14:paraId="3C72ECCE">
      <w:pPr>
        <w:pStyle w:val="35"/>
        <w:spacing w:before="156" w:after="156"/>
        <w:ind w:firstLine="480"/>
      </w:pPr>
      <w:bookmarkStart w:id="59" w:name="_Toc39760567"/>
      <w:r>
        <w:rPr>
          <w:rFonts w:hint="eastAsia"/>
        </w:rPr>
        <w:t>（1）资金管理（12分）</w:t>
      </w:r>
      <w:bookmarkEnd w:id="59"/>
    </w:p>
    <w:p w14:paraId="3BF69C2C">
      <w:pPr>
        <w:pStyle w:val="35"/>
        <w:spacing w:before="156" w:after="156"/>
        <w:ind w:firstLine="480"/>
      </w:pPr>
      <w:bookmarkStart w:id="60" w:name="_Toc39760568"/>
      <w:r>
        <w:rPr>
          <w:rFonts w:hint="eastAsia"/>
        </w:rPr>
        <w:t>①资金到位率（3分）</w:t>
      </w:r>
    </w:p>
    <w:p w14:paraId="01C09F6E">
      <w:pPr>
        <w:pStyle w:val="35"/>
        <w:spacing w:before="156" w:after="156"/>
        <w:ind w:firstLine="480"/>
      </w:pPr>
      <w:bookmarkStart w:id="61" w:name="_Toc39760551"/>
      <w:bookmarkStart w:id="62" w:name="_Toc513580573"/>
      <w:r>
        <w:rPr>
          <w:rFonts w:hint="eastAsia"/>
        </w:rPr>
        <w:t>通过查阅市交通运输局相关资料显示，市交通运输局申报航空引导发展项目预算90,000万元，市财政局批复2019年航空引导发展专项资金90,000万元，主要用于2019年航线奖励资金及2018年绩效考核资金，资金到位率100%。</w:t>
      </w:r>
      <w:bookmarkEnd w:id="61"/>
      <w:bookmarkEnd w:id="62"/>
    </w:p>
    <w:p w14:paraId="39E0E5C7">
      <w:pPr>
        <w:pStyle w:val="35"/>
        <w:spacing w:before="156" w:after="156"/>
        <w:ind w:firstLine="480"/>
      </w:pPr>
      <w:r>
        <w:rPr>
          <w:rFonts w:hint="eastAsia"/>
        </w:rPr>
        <w:t>根据评分标准，该指标评价得分为3分。</w:t>
      </w:r>
    </w:p>
    <w:p w14:paraId="1BCCD2BD">
      <w:pPr>
        <w:pStyle w:val="35"/>
        <w:spacing w:before="156" w:after="156"/>
        <w:ind w:firstLine="480"/>
      </w:pPr>
      <w:bookmarkStart w:id="63" w:name="_Toc39760576"/>
      <w:r>
        <w:rPr>
          <w:rFonts w:hint="eastAsia"/>
        </w:rPr>
        <w:t>②资金执行率（3分）</w:t>
      </w:r>
      <w:bookmarkEnd w:id="63"/>
    </w:p>
    <w:p w14:paraId="07144369">
      <w:pPr>
        <w:pStyle w:val="35"/>
        <w:spacing w:before="156" w:after="156"/>
        <w:ind w:firstLine="480"/>
      </w:pPr>
      <w:bookmarkStart w:id="64" w:name="_Toc39760577"/>
      <w:r>
        <w:rPr>
          <w:rFonts w:hint="eastAsia"/>
        </w:rPr>
        <w:t>通过查阅市交通运输局相关资料显示，2019年1月31日、9月30日分两次以市财政直接支付转账的方式将预算资金90,000万元拨付给机场公司，资金执行率100%。</w:t>
      </w:r>
      <w:bookmarkEnd w:id="64"/>
    </w:p>
    <w:p w14:paraId="31C663C8">
      <w:pPr>
        <w:pStyle w:val="35"/>
        <w:spacing w:before="156" w:after="156"/>
        <w:ind w:firstLine="480"/>
      </w:pPr>
      <w:bookmarkStart w:id="65" w:name="_Toc39760578"/>
      <w:r>
        <w:rPr>
          <w:rFonts w:hint="eastAsia"/>
        </w:rPr>
        <w:t>根据评分标准，该指标评价得分为3分。</w:t>
      </w:r>
      <w:bookmarkEnd w:id="65"/>
    </w:p>
    <w:p w14:paraId="78CC2DC5">
      <w:pPr>
        <w:pStyle w:val="35"/>
        <w:spacing w:before="156" w:after="156"/>
        <w:ind w:firstLine="480"/>
      </w:pPr>
      <w:bookmarkStart w:id="66" w:name="_Toc39760572"/>
      <w:r>
        <w:rPr>
          <w:rFonts w:hint="eastAsia"/>
        </w:rPr>
        <w:t>③资金使用合规性（6分）</w:t>
      </w:r>
      <w:bookmarkEnd w:id="66"/>
    </w:p>
    <w:p w14:paraId="49518CAB">
      <w:pPr>
        <w:pStyle w:val="35"/>
        <w:spacing w:before="156" w:after="156"/>
        <w:ind w:firstLine="480"/>
      </w:pPr>
      <w:bookmarkStart w:id="67" w:name="_Toc39760573"/>
      <w:r>
        <w:rPr>
          <w:rFonts w:hint="eastAsia"/>
        </w:rPr>
        <w:t>我们检查了项目辅助明细账、原始凭证及相关附件等财务资料。</w:t>
      </w:r>
      <w:bookmarkEnd w:id="67"/>
    </w:p>
    <w:p w14:paraId="371C402F">
      <w:pPr>
        <w:pStyle w:val="35"/>
        <w:spacing w:before="156" w:after="156"/>
        <w:ind w:firstLine="480"/>
      </w:pPr>
      <w:bookmarkStart w:id="68" w:name="_Toc39760574"/>
      <w:r>
        <w:rPr>
          <w:rFonts w:hint="eastAsia"/>
        </w:rPr>
        <w:t>我们认为，项目资金专户存储、专款专用；资金使用有较完整的审批程序和手续；资金使用基本符合项目相关批复或合同规定的用途；未见截留、挤占、挪用、虚列支出、超标列支相关费用等情况。</w:t>
      </w:r>
      <w:bookmarkEnd w:id="68"/>
    </w:p>
    <w:p w14:paraId="2CE9DD54">
      <w:pPr>
        <w:pStyle w:val="35"/>
        <w:spacing w:before="156" w:after="156"/>
        <w:ind w:firstLine="480"/>
      </w:pPr>
      <w:bookmarkStart w:id="69" w:name="_Toc39760575"/>
      <w:r>
        <w:rPr>
          <w:rFonts w:hint="eastAsia"/>
        </w:rPr>
        <w:t>根据评分标准，该指标评价得分为6分。</w:t>
      </w:r>
      <w:bookmarkEnd w:id="69"/>
    </w:p>
    <w:bookmarkEnd w:id="60"/>
    <w:p w14:paraId="0AFE9303">
      <w:pPr>
        <w:pStyle w:val="35"/>
        <w:spacing w:before="156" w:after="156"/>
        <w:ind w:firstLine="480"/>
      </w:pPr>
      <w:r>
        <w:rPr>
          <w:rFonts w:hint="eastAsia"/>
        </w:rPr>
        <w:t>（2）组织实施（12分）</w:t>
      </w:r>
      <w:bookmarkEnd w:id="58"/>
    </w:p>
    <w:p w14:paraId="2AFF3D0A">
      <w:pPr>
        <w:pStyle w:val="35"/>
        <w:spacing w:before="156" w:after="156"/>
        <w:ind w:firstLine="480"/>
      </w:pPr>
      <w:bookmarkStart w:id="70" w:name="_Toc39760555"/>
      <w:r>
        <w:rPr>
          <w:rFonts w:hint="eastAsia"/>
        </w:rPr>
        <w:t>①管理制度健全性（4分）</w:t>
      </w:r>
      <w:bookmarkEnd w:id="70"/>
    </w:p>
    <w:p w14:paraId="1A8B70C9">
      <w:pPr>
        <w:pStyle w:val="35"/>
        <w:spacing w:before="156" w:after="156"/>
        <w:ind w:firstLine="480"/>
      </w:pPr>
      <w:bookmarkStart w:id="71" w:name="_Toc39760556"/>
      <w:r>
        <w:rPr>
          <w:rFonts w:hint="eastAsia"/>
        </w:rPr>
        <w:t>我们查阅了《湖北省民航业发展专项资金管理暂行办法》（鄂财建发[2018]185号）、《武汉航空发展引导专项资金管理办法》（武政规[2018]4号）、《武汉航空发展引导专项资金管理实施细则（试行）》（鄂机场发[2018]207号）、《武汉航空发展引导专项资金日常管理办法（试行）》（鄂机场发[2018]211号）、《武汉航空发展引导专项资金管理实施细则（修订稿）》（鄂机场发[2019]263号）、《武汉航空发展引导专项资金日常管理办法（修订稿）》（鄂机场发[2019]283号）等相关文件资料。</w:t>
      </w:r>
      <w:bookmarkEnd w:id="71"/>
    </w:p>
    <w:p w14:paraId="628B7C1C">
      <w:pPr>
        <w:pStyle w:val="35"/>
        <w:spacing w:before="156" w:after="156"/>
        <w:ind w:firstLine="480"/>
      </w:pPr>
      <w:bookmarkStart w:id="72" w:name="_Toc39760557"/>
      <w:r>
        <w:rPr>
          <w:rFonts w:hint="eastAsia"/>
        </w:rPr>
        <w:t>我们认为，该项目制定了合理、健全的专项资金管理制度及项目管理制度。</w:t>
      </w:r>
      <w:bookmarkEnd w:id="72"/>
    </w:p>
    <w:p w14:paraId="688D1794">
      <w:pPr>
        <w:pStyle w:val="35"/>
        <w:spacing w:before="156" w:after="156"/>
        <w:ind w:firstLine="480"/>
      </w:pPr>
      <w:bookmarkStart w:id="73" w:name="_Toc39760558"/>
      <w:r>
        <w:rPr>
          <w:rFonts w:hint="eastAsia"/>
        </w:rPr>
        <w:t>根据评分标准，该指标评价得分为4分。</w:t>
      </w:r>
      <w:bookmarkEnd w:id="73"/>
    </w:p>
    <w:p w14:paraId="099FB576">
      <w:pPr>
        <w:pStyle w:val="35"/>
        <w:spacing w:before="156" w:after="156"/>
        <w:ind w:firstLine="480"/>
      </w:pPr>
      <w:bookmarkStart w:id="74" w:name="_Toc39760559"/>
      <w:r>
        <w:rPr>
          <w:rFonts w:hint="eastAsia"/>
        </w:rPr>
        <w:t>②制度执行有效性（8分）</w:t>
      </w:r>
      <w:bookmarkEnd w:id="74"/>
    </w:p>
    <w:p w14:paraId="4C9A4ACC">
      <w:pPr>
        <w:pStyle w:val="35"/>
        <w:spacing w:before="156" w:after="156"/>
        <w:ind w:firstLine="480"/>
      </w:pPr>
      <w:bookmarkStart w:id="75" w:name="_Toc39760560"/>
      <w:r>
        <w:rPr>
          <w:rFonts w:hint="eastAsia"/>
        </w:rPr>
        <w:t>我们查阅了项目实施过程中相关批复文件、航线合作协议、专项审计报告等文件资料</w:t>
      </w:r>
      <w:bookmarkEnd w:id="75"/>
      <w:r>
        <w:rPr>
          <w:rFonts w:hint="eastAsia"/>
        </w:rPr>
        <w:t>；查阅了相关奖励资金兑现方面文件资料，了解相应流程为：机场公司收集整理相关航空企业及民航其他保障单位申报材料，经第三方审计机构审核后出具审计报告，再根据审计报告确定的奖励金额，向相关航空企业及民航其他保障单位拨付奖励资金；查阅了《湖北机场集团有限公司资金审批支付权限管理办法（修订）》（鄂机场发[2018]157号）等相关文件，以及航空专项资金相关业务账务处理的原始凭证及其附件等相关财务资料。</w:t>
      </w:r>
    </w:p>
    <w:p w14:paraId="1BE167F6">
      <w:pPr>
        <w:pStyle w:val="35"/>
        <w:spacing w:before="156" w:after="156"/>
        <w:ind w:firstLine="480"/>
      </w:pPr>
      <w:bookmarkStart w:id="76" w:name="_Toc39760561"/>
      <w:r>
        <w:rPr>
          <w:rFonts w:hint="eastAsia"/>
        </w:rPr>
        <w:t>我们认为，该项目实施基本符合项目管理制度规定，执行了相应的标准流程，财务制定了监控机制保障资金规范运行，采取了相应的财务检查等必要的监控措施，相关文件资料基本齐全</w:t>
      </w:r>
      <w:bookmarkEnd w:id="76"/>
      <w:r>
        <w:rPr>
          <w:rFonts w:hint="eastAsia"/>
        </w:rPr>
        <w:t>。</w:t>
      </w:r>
    </w:p>
    <w:p w14:paraId="116DD016">
      <w:pPr>
        <w:pStyle w:val="35"/>
        <w:spacing w:before="156" w:after="156"/>
        <w:ind w:firstLine="480"/>
      </w:pPr>
      <w:bookmarkStart w:id="77" w:name="_Toc39760562"/>
      <w:r>
        <w:rPr>
          <w:rFonts w:hint="eastAsia"/>
        </w:rPr>
        <w:t>根据评分标准，该指标评价得分为8分。</w:t>
      </w:r>
      <w:bookmarkEnd w:id="77"/>
    </w:p>
    <w:bookmarkEnd w:id="57"/>
    <w:p w14:paraId="20048CC1">
      <w:pPr>
        <w:pStyle w:val="35"/>
        <w:spacing w:before="156" w:after="156"/>
        <w:ind w:firstLine="480"/>
      </w:pPr>
      <w:bookmarkStart w:id="78" w:name="_Toc513580583"/>
      <w:bookmarkStart w:id="79" w:name="_Toc39760583"/>
      <w:r>
        <w:rPr>
          <w:rFonts w:hint="eastAsia"/>
        </w:rPr>
        <w:t>3.产出</w:t>
      </w:r>
      <w:bookmarkEnd w:id="78"/>
      <w:r>
        <w:rPr>
          <w:rFonts w:hint="eastAsia"/>
        </w:rPr>
        <w:t>（34分）</w:t>
      </w:r>
      <w:bookmarkEnd w:id="79"/>
    </w:p>
    <w:p w14:paraId="2FDB1BDA">
      <w:pPr>
        <w:pStyle w:val="35"/>
        <w:spacing w:before="156" w:after="156"/>
        <w:ind w:firstLine="480"/>
      </w:pPr>
      <w:bookmarkStart w:id="80" w:name="_Toc39760584"/>
      <w:r>
        <w:rPr>
          <w:rFonts w:hint="eastAsia"/>
        </w:rPr>
        <w:t>产出指标基准分值为34分，评价得分为32.91分。具体详情如下：</w:t>
      </w:r>
      <w:bookmarkEnd w:id="80"/>
    </w:p>
    <w:p w14:paraId="7E793A57">
      <w:pPr>
        <w:pStyle w:val="35"/>
        <w:spacing w:before="156" w:after="156"/>
        <w:ind w:firstLine="480"/>
        <w:rPr>
          <w:highlight w:val="yellow"/>
        </w:rPr>
      </w:pPr>
    </w:p>
    <w:tbl>
      <w:tblPr>
        <w:tblStyle w:val="19"/>
        <w:tblW w:w="9340" w:type="dxa"/>
        <w:jc w:val="center"/>
        <w:tblBorders>
          <w:top w:val="double" w:color="auto" w:sz="4" w:space="0"/>
          <w:left w:val="none" w:color="auto" w:sz="0" w:space="0"/>
          <w:bottom w:val="double" w:color="auto" w:sz="4"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60"/>
        <w:gridCol w:w="1060"/>
        <w:gridCol w:w="2480"/>
        <w:gridCol w:w="3680"/>
        <w:gridCol w:w="1060"/>
      </w:tblGrid>
      <w:tr w14:paraId="6331952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blHeader/>
          <w:jc w:val="center"/>
        </w:trPr>
        <w:tc>
          <w:tcPr>
            <w:tcW w:w="1060" w:type="dxa"/>
            <w:shd w:val="clear" w:color="auto" w:fill="auto"/>
            <w:vAlign w:val="center"/>
          </w:tcPr>
          <w:p w14:paraId="39419035">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一级指标</w:t>
            </w:r>
          </w:p>
        </w:tc>
        <w:tc>
          <w:tcPr>
            <w:tcW w:w="1060" w:type="dxa"/>
            <w:shd w:val="clear" w:color="auto" w:fill="auto"/>
            <w:vAlign w:val="center"/>
          </w:tcPr>
          <w:p w14:paraId="5C5B002D">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二级指标</w:t>
            </w:r>
          </w:p>
        </w:tc>
        <w:tc>
          <w:tcPr>
            <w:tcW w:w="2480" w:type="dxa"/>
            <w:shd w:val="clear" w:color="auto" w:fill="auto"/>
            <w:vAlign w:val="center"/>
          </w:tcPr>
          <w:p w14:paraId="6B73644B">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三级指标</w:t>
            </w:r>
          </w:p>
        </w:tc>
        <w:tc>
          <w:tcPr>
            <w:tcW w:w="3680" w:type="dxa"/>
            <w:shd w:val="clear" w:color="auto" w:fill="auto"/>
            <w:vAlign w:val="center"/>
          </w:tcPr>
          <w:p w14:paraId="63AD308F">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评分标准</w:t>
            </w:r>
          </w:p>
        </w:tc>
        <w:tc>
          <w:tcPr>
            <w:tcW w:w="1060" w:type="dxa"/>
            <w:shd w:val="clear" w:color="auto" w:fill="auto"/>
            <w:vAlign w:val="center"/>
          </w:tcPr>
          <w:p w14:paraId="5608C0EE">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w:t>
            </w:r>
          </w:p>
        </w:tc>
      </w:tr>
      <w:tr w14:paraId="5D03354D">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23" w:hRule="atLeast"/>
          <w:jc w:val="center"/>
        </w:trPr>
        <w:tc>
          <w:tcPr>
            <w:tcW w:w="1060" w:type="dxa"/>
            <w:vMerge w:val="restart"/>
            <w:shd w:val="clear" w:color="auto" w:fill="auto"/>
            <w:vAlign w:val="center"/>
          </w:tcPr>
          <w:p w14:paraId="39BEF945">
            <w:pPr>
              <w:widowControl/>
              <w:jc w:val="center"/>
              <w:rPr>
                <w:rFonts w:ascii="仿宋" w:hAnsi="仿宋" w:eastAsia="仿宋" w:cs="宋体"/>
                <w:kern w:val="0"/>
                <w:sz w:val="18"/>
                <w:szCs w:val="18"/>
              </w:rPr>
            </w:pPr>
            <w:r>
              <w:rPr>
                <w:rFonts w:hint="eastAsia" w:ascii="仿宋" w:hAnsi="仿宋" w:eastAsia="仿宋" w:cs="宋体"/>
                <w:kern w:val="0"/>
                <w:sz w:val="18"/>
                <w:szCs w:val="18"/>
              </w:rPr>
              <w:t>产出</w:t>
            </w:r>
            <w:r>
              <w:rPr>
                <w:rFonts w:hint="eastAsia" w:ascii="仿宋" w:hAnsi="仿宋" w:eastAsia="仿宋" w:cs="宋体"/>
                <w:kern w:val="0"/>
                <w:sz w:val="18"/>
                <w:szCs w:val="18"/>
              </w:rPr>
              <w:br w:type="textWrapping"/>
            </w:r>
            <w:r>
              <w:rPr>
                <w:rFonts w:hint="eastAsia" w:ascii="仿宋" w:hAnsi="仿宋" w:eastAsia="仿宋" w:cs="宋体"/>
                <w:kern w:val="0"/>
                <w:sz w:val="18"/>
                <w:szCs w:val="18"/>
              </w:rPr>
              <w:t>（34分）</w:t>
            </w:r>
          </w:p>
        </w:tc>
        <w:tc>
          <w:tcPr>
            <w:tcW w:w="1060" w:type="dxa"/>
            <w:vMerge w:val="restart"/>
            <w:shd w:val="clear" w:color="auto" w:fill="auto"/>
            <w:vAlign w:val="center"/>
          </w:tcPr>
          <w:p w14:paraId="77E1C577">
            <w:pPr>
              <w:jc w:val="center"/>
              <w:rPr>
                <w:rFonts w:ascii="仿宋" w:hAnsi="仿宋" w:eastAsia="仿宋" w:cs="宋体"/>
                <w:sz w:val="18"/>
                <w:szCs w:val="18"/>
              </w:rPr>
            </w:pPr>
            <w:r>
              <w:rPr>
                <w:rFonts w:hint="eastAsia" w:ascii="仿宋" w:hAnsi="仿宋" w:eastAsia="仿宋"/>
                <w:sz w:val="18"/>
                <w:szCs w:val="18"/>
              </w:rPr>
              <w:t>运营指标</w:t>
            </w:r>
            <w:r>
              <w:rPr>
                <w:rFonts w:hint="eastAsia" w:ascii="仿宋" w:hAnsi="仿宋" w:eastAsia="仿宋"/>
                <w:sz w:val="18"/>
                <w:szCs w:val="18"/>
              </w:rPr>
              <w:br w:type="textWrapping"/>
            </w:r>
            <w:r>
              <w:rPr>
                <w:rFonts w:hint="eastAsia" w:ascii="仿宋" w:hAnsi="仿宋" w:eastAsia="仿宋"/>
                <w:sz w:val="18"/>
                <w:szCs w:val="18"/>
              </w:rPr>
              <w:t>（12分）</w:t>
            </w:r>
          </w:p>
        </w:tc>
        <w:tc>
          <w:tcPr>
            <w:tcW w:w="2480" w:type="dxa"/>
            <w:vMerge w:val="restart"/>
            <w:shd w:val="clear" w:color="auto" w:fill="auto"/>
            <w:vAlign w:val="center"/>
          </w:tcPr>
          <w:p w14:paraId="780F9DB6">
            <w:pPr>
              <w:rPr>
                <w:rFonts w:ascii="仿宋" w:hAnsi="仿宋" w:eastAsia="仿宋" w:cs="宋体"/>
                <w:color w:val="000000"/>
                <w:sz w:val="18"/>
                <w:szCs w:val="18"/>
              </w:rPr>
            </w:pPr>
            <w:r>
              <w:rPr>
                <w:rFonts w:hint="eastAsia" w:ascii="仿宋" w:hAnsi="仿宋" w:eastAsia="仿宋"/>
                <w:color w:val="000000"/>
                <w:sz w:val="18"/>
                <w:szCs w:val="18"/>
              </w:rPr>
              <w:t>旅客吞吐量增幅（4分）</w:t>
            </w:r>
          </w:p>
        </w:tc>
        <w:tc>
          <w:tcPr>
            <w:tcW w:w="3680" w:type="dxa"/>
            <w:shd w:val="clear" w:color="auto" w:fill="auto"/>
            <w:vAlign w:val="center"/>
          </w:tcPr>
          <w:p w14:paraId="08FC9433">
            <w:pPr>
              <w:rPr>
                <w:rFonts w:ascii="仿宋" w:hAnsi="仿宋" w:eastAsia="仿宋" w:cs="宋体"/>
                <w:color w:val="000000"/>
                <w:sz w:val="18"/>
                <w:szCs w:val="18"/>
              </w:rPr>
            </w:pPr>
            <w:r>
              <w:rPr>
                <w:rFonts w:hint="eastAsia" w:ascii="仿宋" w:hAnsi="仿宋" w:eastAsia="仿宋"/>
                <w:color w:val="000000"/>
                <w:sz w:val="18"/>
                <w:szCs w:val="18"/>
              </w:rPr>
              <w:t>①  较上年旅客吞吐量增幅达到10%，计4分；</w:t>
            </w:r>
          </w:p>
        </w:tc>
        <w:tc>
          <w:tcPr>
            <w:tcW w:w="1060" w:type="dxa"/>
            <w:vMerge w:val="restart"/>
            <w:shd w:val="clear" w:color="auto" w:fill="auto"/>
            <w:noWrap/>
            <w:vAlign w:val="center"/>
          </w:tcPr>
          <w:p w14:paraId="4A1C1B6C">
            <w:pPr>
              <w:jc w:val="center"/>
              <w:rPr>
                <w:rFonts w:ascii="仿宋" w:hAnsi="仿宋" w:eastAsia="仿宋" w:cs="宋体"/>
                <w:color w:val="000000"/>
                <w:sz w:val="18"/>
                <w:szCs w:val="18"/>
              </w:rPr>
            </w:pPr>
            <w:r>
              <w:rPr>
                <w:rFonts w:hint="eastAsia" w:ascii="仿宋" w:hAnsi="仿宋" w:eastAsia="仿宋"/>
                <w:color w:val="000000"/>
                <w:sz w:val="18"/>
                <w:szCs w:val="18"/>
              </w:rPr>
              <w:t>4</w:t>
            </w:r>
          </w:p>
        </w:tc>
      </w:tr>
      <w:tr w14:paraId="29014E06">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1525EA35">
            <w:pPr>
              <w:widowControl/>
              <w:jc w:val="left"/>
              <w:rPr>
                <w:rFonts w:ascii="仿宋" w:hAnsi="仿宋" w:eastAsia="仿宋" w:cs="宋体"/>
                <w:kern w:val="0"/>
                <w:sz w:val="18"/>
                <w:szCs w:val="18"/>
              </w:rPr>
            </w:pPr>
          </w:p>
        </w:tc>
        <w:tc>
          <w:tcPr>
            <w:tcW w:w="1060" w:type="dxa"/>
            <w:vMerge w:val="continue"/>
            <w:shd w:val="clear" w:color="auto" w:fill="auto"/>
            <w:vAlign w:val="center"/>
          </w:tcPr>
          <w:p w14:paraId="08F3C412">
            <w:pPr>
              <w:widowControl/>
              <w:jc w:val="left"/>
              <w:rPr>
                <w:rFonts w:ascii="仿宋" w:hAnsi="仿宋" w:eastAsia="仿宋" w:cs="宋体"/>
                <w:kern w:val="0"/>
                <w:sz w:val="18"/>
                <w:szCs w:val="18"/>
              </w:rPr>
            </w:pPr>
          </w:p>
        </w:tc>
        <w:tc>
          <w:tcPr>
            <w:tcW w:w="2480" w:type="dxa"/>
            <w:vMerge w:val="continue"/>
            <w:shd w:val="clear" w:color="auto" w:fill="auto"/>
            <w:vAlign w:val="center"/>
          </w:tcPr>
          <w:p w14:paraId="4E4BCC0E">
            <w:pPr>
              <w:widowControl/>
              <w:jc w:val="left"/>
              <w:rPr>
                <w:rFonts w:ascii="仿宋" w:hAnsi="仿宋" w:eastAsia="仿宋" w:cs="宋体"/>
                <w:color w:val="000000"/>
                <w:kern w:val="0"/>
                <w:sz w:val="18"/>
                <w:szCs w:val="18"/>
              </w:rPr>
            </w:pPr>
          </w:p>
        </w:tc>
        <w:tc>
          <w:tcPr>
            <w:tcW w:w="3680" w:type="dxa"/>
            <w:shd w:val="clear" w:color="auto" w:fill="auto"/>
            <w:vAlign w:val="center"/>
          </w:tcPr>
          <w:p w14:paraId="43CBADCB">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增幅在10%以下，按实际增幅与10%的比值，乘以4分计分，扣完为止。</w:t>
            </w:r>
          </w:p>
        </w:tc>
        <w:tc>
          <w:tcPr>
            <w:tcW w:w="1060" w:type="dxa"/>
            <w:vMerge w:val="continue"/>
            <w:shd w:val="clear" w:color="auto" w:fill="auto"/>
            <w:vAlign w:val="center"/>
          </w:tcPr>
          <w:p w14:paraId="759FE6B9">
            <w:pPr>
              <w:widowControl/>
              <w:jc w:val="left"/>
              <w:rPr>
                <w:rFonts w:ascii="仿宋" w:hAnsi="仿宋" w:eastAsia="仿宋" w:cs="宋体"/>
                <w:color w:val="000000"/>
                <w:kern w:val="0"/>
                <w:sz w:val="18"/>
                <w:szCs w:val="18"/>
              </w:rPr>
            </w:pPr>
          </w:p>
        </w:tc>
      </w:tr>
      <w:tr w14:paraId="4A053B9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3" w:hRule="atLeast"/>
          <w:jc w:val="center"/>
        </w:trPr>
        <w:tc>
          <w:tcPr>
            <w:tcW w:w="1060" w:type="dxa"/>
            <w:vMerge w:val="continue"/>
            <w:shd w:val="clear" w:color="auto" w:fill="auto"/>
            <w:vAlign w:val="center"/>
          </w:tcPr>
          <w:p w14:paraId="2A91C404">
            <w:pPr>
              <w:widowControl/>
              <w:jc w:val="left"/>
              <w:rPr>
                <w:rFonts w:ascii="仿宋" w:hAnsi="仿宋" w:eastAsia="仿宋" w:cs="宋体"/>
                <w:kern w:val="0"/>
                <w:sz w:val="18"/>
                <w:szCs w:val="18"/>
              </w:rPr>
            </w:pPr>
          </w:p>
        </w:tc>
        <w:tc>
          <w:tcPr>
            <w:tcW w:w="1060" w:type="dxa"/>
            <w:vMerge w:val="continue"/>
            <w:shd w:val="clear" w:color="auto" w:fill="auto"/>
            <w:vAlign w:val="center"/>
          </w:tcPr>
          <w:p w14:paraId="30750609">
            <w:pPr>
              <w:widowControl/>
              <w:jc w:val="left"/>
              <w:rPr>
                <w:rFonts w:ascii="仿宋" w:hAnsi="仿宋" w:eastAsia="仿宋" w:cs="宋体"/>
                <w:kern w:val="0"/>
                <w:sz w:val="18"/>
                <w:szCs w:val="18"/>
              </w:rPr>
            </w:pPr>
          </w:p>
        </w:tc>
        <w:tc>
          <w:tcPr>
            <w:tcW w:w="2480" w:type="dxa"/>
            <w:vMerge w:val="restart"/>
            <w:shd w:val="clear" w:color="auto" w:fill="auto"/>
            <w:vAlign w:val="center"/>
          </w:tcPr>
          <w:p w14:paraId="5DEC9813">
            <w:pPr>
              <w:widowControl/>
              <w:rPr>
                <w:rFonts w:ascii="仿宋" w:hAnsi="仿宋" w:eastAsia="仿宋" w:cs="宋体"/>
                <w:color w:val="000000"/>
                <w:kern w:val="0"/>
                <w:sz w:val="18"/>
                <w:szCs w:val="18"/>
              </w:rPr>
            </w:pPr>
            <w:r>
              <w:rPr>
                <w:rFonts w:hint="eastAsia" w:ascii="仿宋" w:hAnsi="仿宋" w:eastAsia="仿宋"/>
                <w:color w:val="000000"/>
                <w:sz w:val="18"/>
                <w:szCs w:val="18"/>
              </w:rPr>
              <w:t>货邮吞吐量增幅（2分）</w:t>
            </w:r>
          </w:p>
        </w:tc>
        <w:tc>
          <w:tcPr>
            <w:tcW w:w="3680" w:type="dxa"/>
            <w:shd w:val="clear" w:color="auto" w:fill="auto"/>
            <w:vAlign w:val="center"/>
          </w:tcPr>
          <w:p w14:paraId="2D867ECF">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①  较上年货邮吞吐量增幅达到10%，计2分；</w:t>
            </w:r>
          </w:p>
        </w:tc>
        <w:tc>
          <w:tcPr>
            <w:tcW w:w="1060" w:type="dxa"/>
            <w:vMerge w:val="restart"/>
            <w:shd w:val="clear" w:color="auto" w:fill="auto"/>
            <w:noWrap/>
            <w:vAlign w:val="center"/>
          </w:tcPr>
          <w:p w14:paraId="3B092260">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 xml:space="preserve">1.95 </w:t>
            </w:r>
          </w:p>
        </w:tc>
      </w:tr>
      <w:tr w14:paraId="3065BEA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6F70B239">
            <w:pPr>
              <w:widowControl/>
              <w:jc w:val="left"/>
              <w:rPr>
                <w:rFonts w:ascii="仿宋" w:hAnsi="仿宋" w:eastAsia="仿宋" w:cs="宋体"/>
                <w:kern w:val="0"/>
                <w:sz w:val="18"/>
                <w:szCs w:val="18"/>
              </w:rPr>
            </w:pPr>
          </w:p>
        </w:tc>
        <w:tc>
          <w:tcPr>
            <w:tcW w:w="1060" w:type="dxa"/>
            <w:vMerge w:val="continue"/>
            <w:shd w:val="clear" w:color="auto" w:fill="auto"/>
            <w:vAlign w:val="center"/>
          </w:tcPr>
          <w:p w14:paraId="3ACA53CA">
            <w:pPr>
              <w:widowControl/>
              <w:jc w:val="left"/>
              <w:rPr>
                <w:rFonts w:ascii="仿宋" w:hAnsi="仿宋" w:eastAsia="仿宋" w:cs="宋体"/>
                <w:kern w:val="0"/>
                <w:sz w:val="18"/>
                <w:szCs w:val="18"/>
              </w:rPr>
            </w:pPr>
          </w:p>
        </w:tc>
        <w:tc>
          <w:tcPr>
            <w:tcW w:w="2480" w:type="dxa"/>
            <w:vMerge w:val="continue"/>
            <w:shd w:val="clear" w:color="auto" w:fill="auto"/>
            <w:vAlign w:val="center"/>
          </w:tcPr>
          <w:p w14:paraId="067B369C">
            <w:pPr>
              <w:widowControl/>
              <w:jc w:val="left"/>
              <w:rPr>
                <w:rFonts w:ascii="仿宋" w:hAnsi="仿宋" w:eastAsia="仿宋" w:cs="宋体"/>
                <w:color w:val="000000"/>
                <w:kern w:val="0"/>
                <w:sz w:val="18"/>
                <w:szCs w:val="18"/>
              </w:rPr>
            </w:pPr>
          </w:p>
        </w:tc>
        <w:tc>
          <w:tcPr>
            <w:tcW w:w="3680" w:type="dxa"/>
            <w:shd w:val="clear" w:color="auto" w:fill="auto"/>
            <w:vAlign w:val="center"/>
          </w:tcPr>
          <w:p w14:paraId="1C9813C6">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增幅在10%以下，按实际增幅与10%的比值，乘以2分计分，扣完为止。</w:t>
            </w:r>
          </w:p>
        </w:tc>
        <w:tc>
          <w:tcPr>
            <w:tcW w:w="1060" w:type="dxa"/>
            <w:vMerge w:val="continue"/>
            <w:shd w:val="clear" w:color="auto" w:fill="auto"/>
            <w:vAlign w:val="center"/>
          </w:tcPr>
          <w:p w14:paraId="61098547">
            <w:pPr>
              <w:widowControl/>
              <w:jc w:val="left"/>
              <w:rPr>
                <w:rFonts w:ascii="仿宋" w:hAnsi="仿宋" w:eastAsia="仿宋" w:cs="宋体"/>
                <w:color w:val="000000"/>
                <w:kern w:val="0"/>
                <w:sz w:val="18"/>
                <w:szCs w:val="18"/>
              </w:rPr>
            </w:pPr>
          </w:p>
        </w:tc>
      </w:tr>
      <w:tr w14:paraId="0C63E70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17B5FC94">
            <w:pPr>
              <w:widowControl/>
              <w:jc w:val="left"/>
              <w:rPr>
                <w:rFonts w:ascii="仿宋" w:hAnsi="仿宋" w:eastAsia="仿宋" w:cs="宋体"/>
                <w:kern w:val="0"/>
                <w:sz w:val="18"/>
                <w:szCs w:val="18"/>
              </w:rPr>
            </w:pPr>
          </w:p>
        </w:tc>
        <w:tc>
          <w:tcPr>
            <w:tcW w:w="1060" w:type="dxa"/>
            <w:vMerge w:val="continue"/>
            <w:shd w:val="clear" w:color="auto" w:fill="auto"/>
            <w:vAlign w:val="center"/>
          </w:tcPr>
          <w:p w14:paraId="39BB4CDD">
            <w:pPr>
              <w:widowControl/>
              <w:jc w:val="left"/>
              <w:rPr>
                <w:rFonts w:ascii="仿宋" w:hAnsi="仿宋" w:eastAsia="仿宋" w:cs="宋体"/>
                <w:kern w:val="0"/>
                <w:sz w:val="18"/>
                <w:szCs w:val="18"/>
              </w:rPr>
            </w:pPr>
          </w:p>
        </w:tc>
        <w:tc>
          <w:tcPr>
            <w:tcW w:w="2480" w:type="dxa"/>
            <w:vMerge w:val="restart"/>
            <w:shd w:val="clear" w:color="auto" w:fill="auto"/>
            <w:vAlign w:val="center"/>
          </w:tcPr>
          <w:p w14:paraId="5584D97F">
            <w:pPr>
              <w:widowControl/>
              <w:rPr>
                <w:rFonts w:ascii="仿宋" w:hAnsi="仿宋" w:eastAsia="仿宋" w:cs="宋体"/>
                <w:color w:val="000000"/>
                <w:kern w:val="0"/>
                <w:sz w:val="18"/>
                <w:szCs w:val="18"/>
              </w:rPr>
            </w:pPr>
            <w:r>
              <w:rPr>
                <w:rFonts w:hint="eastAsia" w:ascii="仿宋" w:hAnsi="仿宋" w:eastAsia="仿宋"/>
                <w:color w:val="000000"/>
                <w:sz w:val="18"/>
                <w:szCs w:val="18"/>
              </w:rPr>
              <w:t>国际地区旅客吞吐量（4分）</w:t>
            </w:r>
          </w:p>
        </w:tc>
        <w:tc>
          <w:tcPr>
            <w:tcW w:w="3680" w:type="dxa"/>
            <w:shd w:val="clear" w:color="auto" w:fill="auto"/>
            <w:vAlign w:val="center"/>
          </w:tcPr>
          <w:p w14:paraId="7F28B32B">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①  较上年国际地区旅客吞吐量增幅达到10%，计4分；</w:t>
            </w:r>
          </w:p>
        </w:tc>
        <w:tc>
          <w:tcPr>
            <w:tcW w:w="1060" w:type="dxa"/>
            <w:vMerge w:val="restart"/>
            <w:shd w:val="clear" w:color="auto" w:fill="auto"/>
            <w:noWrap/>
            <w:vAlign w:val="center"/>
          </w:tcPr>
          <w:p w14:paraId="5295F05B">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4</w:t>
            </w:r>
          </w:p>
        </w:tc>
      </w:tr>
      <w:tr w14:paraId="23E1C5FC">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4002815F">
            <w:pPr>
              <w:widowControl/>
              <w:jc w:val="left"/>
              <w:rPr>
                <w:rFonts w:ascii="仿宋" w:hAnsi="仿宋" w:eastAsia="仿宋" w:cs="宋体"/>
                <w:kern w:val="0"/>
                <w:sz w:val="18"/>
                <w:szCs w:val="18"/>
              </w:rPr>
            </w:pPr>
          </w:p>
        </w:tc>
        <w:tc>
          <w:tcPr>
            <w:tcW w:w="1060" w:type="dxa"/>
            <w:vMerge w:val="continue"/>
            <w:shd w:val="clear" w:color="auto" w:fill="auto"/>
            <w:vAlign w:val="center"/>
          </w:tcPr>
          <w:p w14:paraId="279AF680">
            <w:pPr>
              <w:widowControl/>
              <w:jc w:val="left"/>
              <w:rPr>
                <w:rFonts w:ascii="仿宋" w:hAnsi="仿宋" w:eastAsia="仿宋" w:cs="宋体"/>
                <w:kern w:val="0"/>
                <w:sz w:val="18"/>
                <w:szCs w:val="18"/>
              </w:rPr>
            </w:pPr>
          </w:p>
        </w:tc>
        <w:tc>
          <w:tcPr>
            <w:tcW w:w="2480" w:type="dxa"/>
            <w:vMerge w:val="continue"/>
            <w:shd w:val="clear" w:color="auto" w:fill="auto"/>
            <w:vAlign w:val="center"/>
          </w:tcPr>
          <w:p w14:paraId="0AC1B44C">
            <w:pPr>
              <w:widowControl/>
              <w:jc w:val="left"/>
              <w:rPr>
                <w:rFonts w:ascii="仿宋" w:hAnsi="仿宋" w:eastAsia="仿宋" w:cs="宋体"/>
                <w:color w:val="000000"/>
                <w:kern w:val="0"/>
                <w:sz w:val="18"/>
                <w:szCs w:val="18"/>
              </w:rPr>
            </w:pPr>
          </w:p>
        </w:tc>
        <w:tc>
          <w:tcPr>
            <w:tcW w:w="3680" w:type="dxa"/>
            <w:shd w:val="clear" w:color="auto" w:fill="auto"/>
            <w:vAlign w:val="center"/>
          </w:tcPr>
          <w:p w14:paraId="5BB518F0">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增幅在10%以下，按实际增幅与10%的比值，乘以4分计分，扣完为止。</w:t>
            </w:r>
          </w:p>
        </w:tc>
        <w:tc>
          <w:tcPr>
            <w:tcW w:w="1060" w:type="dxa"/>
            <w:vMerge w:val="continue"/>
            <w:shd w:val="clear" w:color="auto" w:fill="auto"/>
            <w:vAlign w:val="center"/>
          </w:tcPr>
          <w:p w14:paraId="50148D77">
            <w:pPr>
              <w:widowControl/>
              <w:jc w:val="left"/>
              <w:rPr>
                <w:rFonts w:ascii="仿宋" w:hAnsi="仿宋" w:eastAsia="仿宋" w:cs="宋体"/>
                <w:color w:val="000000"/>
                <w:kern w:val="0"/>
                <w:sz w:val="18"/>
                <w:szCs w:val="18"/>
              </w:rPr>
            </w:pPr>
          </w:p>
        </w:tc>
      </w:tr>
      <w:tr w14:paraId="5EE96C2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693075EE">
            <w:pPr>
              <w:widowControl/>
              <w:jc w:val="left"/>
              <w:rPr>
                <w:rFonts w:ascii="仿宋" w:hAnsi="仿宋" w:eastAsia="仿宋" w:cs="宋体"/>
                <w:kern w:val="0"/>
                <w:sz w:val="18"/>
                <w:szCs w:val="18"/>
              </w:rPr>
            </w:pPr>
          </w:p>
        </w:tc>
        <w:tc>
          <w:tcPr>
            <w:tcW w:w="1060" w:type="dxa"/>
            <w:vMerge w:val="continue"/>
            <w:shd w:val="clear" w:color="auto" w:fill="auto"/>
            <w:vAlign w:val="center"/>
          </w:tcPr>
          <w:p w14:paraId="1F12F98B">
            <w:pPr>
              <w:widowControl/>
              <w:jc w:val="left"/>
              <w:rPr>
                <w:rFonts w:ascii="仿宋" w:hAnsi="仿宋" w:eastAsia="仿宋" w:cs="宋体"/>
                <w:kern w:val="0"/>
                <w:sz w:val="18"/>
                <w:szCs w:val="18"/>
              </w:rPr>
            </w:pPr>
          </w:p>
        </w:tc>
        <w:tc>
          <w:tcPr>
            <w:tcW w:w="2480" w:type="dxa"/>
            <w:vMerge w:val="restart"/>
            <w:shd w:val="clear" w:color="auto" w:fill="auto"/>
            <w:vAlign w:val="center"/>
          </w:tcPr>
          <w:p w14:paraId="60E77655">
            <w:pPr>
              <w:widowControl/>
              <w:rPr>
                <w:rFonts w:ascii="仿宋" w:hAnsi="仿宋" w:eastAsia="仿宋" w:cs="宋体"/>
                <w:color w:val="000000"/>
                <w:kern w:val="0"/>
                <w:sz w:val="18"/>
                <w:szCs w:val="18"/>
              </w:rPr>
            </w:pPr>
            <w:r>
              <w:rPr>
                <w:rFonts w:hint="eastAsia" w:ascii="仿宋" w:hAnsi="仿宋" w:eastAsia="仿宋"/>
                <w:color w:val="000000"/>
                <w:sz w:val="18"/>
                <w:szCs w:val="18"/>
              </w:rPr>
              <w:t>国际地区货邮吞吐量（2分）</w:t>
            </w:r>
          </w:p>
        </w:tc>
        <w:tc>
          <w:tcPr>
            <w:tcW w:w="3680" w:type="dxa"/>
            <w:shd w:val="clear" w:color="auto" w:fill="auto"/>
            <w:vAlign w:val="center"/>
          </w:tcPr>
          <w:p w14:paraId="376459B5">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①  较上年国际地区货邮吞吐量增幅达到20%，计2分；</w:t>
            </w:r>
          </w:p>
        </w:tc>
        <w:tc>
          <w:tcPr>
            <w:tcW w:w="1060" w:type="dxa"/>
            <w:vMerge w:val="restart"/>
            <w:shd w:val="clear" w:color="auto" w:fill="auto"/>
            <w:noWrap/>
            <w:vAlign w:val="center"/>
          </w:tcPr>
          <w:p w14:paraId="796DC5EC">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 xml:space="preserve">1.75 </w:t>
            </w:r>
          </w:p>
        </w:tc>
      </w:tr>
      <w:tr w14:paraId="397A2502">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10D61398">
            <w:pPr>
              <w:widowControl/>
              <w:jc w:val="left"/>
              <w:rPr>
                <w:rFonts w:ascii="仿宋" w:hAnsi="仿宋" w:eastAsia="仿宋" w:cs="宋体"/>
                <w:kern w:val="0"/>
                <w:sz w:val="18"/>
                <w:szCs w:val="18"/>
              </w:rPr>
            </w:pPr>
          </w:p>
        </w:tc>
        <w:tc>
          <w:tcPr>
            <w:tcW w:w="1060" w:type="dxa"/>
            <w:vMerge w:val="continue"/>
            <w:shd w:val="clear" w:color="auto" w:fill="auto"/>
            <w:vAlign w:val="center"/>
          </w:tcPr>
          <w:p w14:paraId="7596C22E">
            <w:pPr>
              <w:widowControl/>
              <w:jc w:val="left"/>
              <w:rPr>
                <w:rFonts w:ascii="仿宋" w:hAnsi="仿宋" w:eastAsia="仿宋" w:cs="宋体"/>
                <w:kern w:val="0"/>
                <w:sz w:val="18"/>
                <w:szCs w:val="18"/>
              </w:rPr>
            </w:pPr>
          </w:p>
        </w:tc>
        <w:tc>
          <w:tcPr>
            <w:tcW w:w="2480" w:type="dxa"/>
            <w:vMerge w:val="continue"/>
            <w:shd w:val="clear" w:color="auto" w:fill="auto"/>
            <w:vAlign w:val="center"/>
          </w:tcPr>
          <w:p w14:paraId="18A5C80B">
            <w:pPr>
              <w:widowControl/>
              <w:jc w:val="left"/>
              <w:rPr>
                <w:rFonts w:ascii="仿宋" w:hAnsi="仿宋" w:eastAsia="仿宋" w:cs="宋体"/>
                <w:color w:val="000000"/>
                <w:kern w:val="0"/>
                <w:sz w:val="18"/>
                <w:szCs w:val="18"/>
              </w:rPr>
            </w:pPr>
          </w:p>
        </w:tc>
        <w:tc>
          <w:tcPr>
            <w:tcW w:w="3680" w:type="dxa"/>
            <w:shd w:val="clear" w:color="auto" w:fill="auto"/>
            <w:vAlign w:val="center"/>
          </w:tcPr>
          <w:p w14:paraId="208E911D">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增幅在20%以下，按实际增幅与20%的比值，乘以2分计分，扣完为止。</w:t>
            </w:r>
          </w:p>
        </w:tc>
        <w:tc>
          <w:tcPr>
            <w:tcW w:w="1060" w:type="dxa"/>
            <w:vMerge w:val="continue"/>
            <w:shd w:val="clear" w:color="auto" w:fill="auto"/>
            <w:vAlign w:val="center"/>
          </w:tcPr>
          <w:p w14:paraId="4D74F524">
            <w:pPr>
              <w:widowControl/>
              <w:jc w:val="left"/>
              <w:rPr>
                <w:rFonts w:ascii="仿宋" w:hAnsi="仿宋" w:eastAsia="仿宋" w:cs="宋体"/>
                <w:color w:val="000000"/>
                <w:kern w:val="0"/>
                <w:sz w:val="18"/>
                <w:szCs w:val="18"/>
              </w:rPr>
            </w:pPr>
          </w:p>
        </w:tc>
      </w:tr>
      <w:tr w14:paraId="2DCB9AF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36FD5650">
            <w:pPr>
              <w:widowControl/>
              <w:jc w:val="left"/>
              <w:rPr>
                <w:rFonts w:ascii="仿宋" w:hAnsi="仿宋" w:eastAsia="仿宋" w:cs="宋体"/>
                <w:kern w:val="0"/>
                <w:sz w:val="18"/>
                <w:szCs w:val="18"/>
              </w:rPr>
            </w:pPr>
          </w:p>
        </w:tc>
        <w:tc>
          <w:tcPr>
            <w:tcW w:w="1060" w:type="dxa"/>
            <w:vMerge w:val="restart"/>
            <w:shd w:val="clear" w:color="auto" w:fill="auto"/>
            <w:vAlign w:val="center"/>
          </w:tcPr>
          <w:p w14:paraId="5630E7C6">
            <w:pPr>
              <w:jc w:val="center"/>
              <w:rPr>
                <w:rFonts w:ascii="仿宋" w:hAnsi="仿宋" w:eastAsia="仿宋" w:cs="宋体"/>
                <w:sz w:val="18"/>
                <w:szCs w:val="18"/>
              </w:rPr>
            </w:pPr>
            <w:r>
              <w:rPr>
                <w:rFonts w:hint="eastAsia" w:ascii="仿宋" w:hAnsi="仿宋" w:eastAsia="仿宋"/>
                <w:sz w:val="18"/>
                <w:szCs w:val="18"/>
              </w:rPr>
              <w:t>航线指标</w:t>
            </w:r>
            <w:r>
              <w:rPr>
                <w:rFonts w:hint="eastAsia" w:ascii="仿宋" w:hAnsi="仿宋" w:eastAsia="仿宋"/>
                <w:sz w:val="18"/>
                <w:szCs w:val="18"/>
              </w:rPr>
              <w:br w:type="textWrapping"/>
            </w:r>
            <w:r>
              <w:rPr>
                <w:rFonts w:hint="eastAsia" w:ascii="仿宋" w:hAnsi="仿宋" w:eastAsia="仿宋"/>
                <w:sz w:val="18"/>
                <w:szCs w:val="18"/>
              </w:rPr>
              <w:t>（15分）</w:t>
            </w:r>
          </w:p>
        </w:tc>
        <w:tc>
          <w:tcPr>
            <w:tcW w:w="2480" w:type="dxa"/>
            <w:vMerge w:val="restart"/>
            <w:shd w:val="clear" w:color="auto" w:fill="auto"/>
            <w:vAlign w:val="center"/>
          </w:tcPr>
          <w:p w14:paraId="4C30A750">
            <w:pPr>
              <w:rPr>
                <w:rFonts w:ascii="仿宋" w:hAnsi="仿宋" w:eastAsia="仿宋" w:cs="宋体"/>
                <w:color w:val="000000"/>
                <w:sz w:val="18"/>
                <w:szCs w:val="18"/>
              </w:rPr>
            </w:pPr>
            <w:r>
              <w:rPr>
                <w:rFonts w:hint="eastAsia" w:ascii="仿宋" w:hAnsi="仿宋" w:eastAsia="仿宋"/>
                <w:color w:val="000000"/>
                <w:sz w:val="18"/>
                <w:szCs w:val="18"/>
              </w:rPr>
              <w:t>重点国际航线（5分）</w:t>
            </w:r>
          </w:p>
        </w:tc>
        <w:tc>
          <w:tcPr>
            <w:tcW w:w="3680" w:type="dxa"/>
            <w:shd w:val="clear" w:color="auto" w:fill="auto"/>
            <w:vAlign w:val="center"/>
          </w:tcPr>
          <w:p w14:paraId="387165A5">
            <w:pPr>
              <w:rPr>
                <w:rFonts w:ascii="仿宋" w:hAnsi="仿宋" w:eastAsia="仿宋" w:cs="宋体"/>
                <w:color w:val="000000"/>
                <w:sz w:val="18"/>
                <w:szCs w:val="18"/>
              </w:rPr>
            </w:pPr>
            <w:r>
              <w:rPr>
                <w:rFonts w:hint="eastAsia" w:ascii="仿宋" w:hAnsi="仿宋" w:eastAsia="仿宋"/>
                <w:color w:val="000000"/>
                <w:sz w:val="18"/>
                <w:szCs w:val="18"/>
              </w:rPr>
              <w:t>①  稳定上年重点国际航点，计3分；减少1个扣1分，扣完为止；</w:t>
            </w:r>
          </w:p>
        </w:tc>
        <w:tc>
          <w:tcPr>
            <w:tcW w:w="1060" w:type="dxa"/>
            <w:vMerge w:val="restart"/>
            <w:shd w:val="clear" w:color="auto" w:fill="auto"/>
            <w:noWrap/>
            <w:vAlign w:val="center"/>
          </w:tcPr>
          <w:p w14:paraId="37A28577">
            <w:pPr>
              <w:jc w:val="center"/>
              <w:rPr>
                <w:rFonts w:ascii="仿宋" w:hAnsi="仿宋" w:eastAsia="仿宋" w:cs="宋体"/>
                <w:color w:val="000000"/>
                <w:sz w:val="18"/>
                <w:szCs w:val="18"/>
              </w:rPr>
            </w:pPr>
            <w:r>
              <w:rPr>
                <w:rFonts w:hint="eastAsia" w:ascii="仿宋" w:hAnsi="仿宋" w:eastAsia="仿宋"/>
                <w:color w:val="000000"/>
                <w:sz w:val="18"/>
                <w:szCs w:val="18"/>
              </w:rPr>
              <w:t>5</w:t>
            </w:r>
          </w:p>
        </w:tc>
      </w:tr>
      <w:tr w14:paraId="3BE6982C">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06230101">
            <w:pPr>
              <w:widowControl/>
              <w:jc w:val="left"/>
              <w:rPr>
                <w:rFonts w:ascii="仿宋" w:hAnsi="仿宋" w:eastAsia="仿宋" w:cs="宋体"/>
                <w:kern w:val="0"/>
                <w:sz w:val="18"/>
                <w:szCs w:val="18"/>
              </w:rPr>
            </w:pPr>
          </w:p>
        </w:tc>
        <w:tc>
          <w:tcPr>
            <w:tcW w:w="1060" w:type="dxa"/>
            <w:vMerge w:val="continue"/>
            <w:shd w:val="clear" w:color="auto" w:fill="auto"/>
            <w:vAlign w:val="center"/>
          </w:tcPr>
          <w:p w14:paraId="5ADC9A86">
            <w:pPr>
              <w:widowControl/>
              <w:jc w:val="left"/>
              <w:rPr>
                <w:rFonts w:ascii="仿宋" w:hAnsi="仿宋" w:eastAsia="仿宋" w:cs="宋体"/>
                <w:kern w:val="0"/>
                <w:sz w:val="18"/>
                <w:szCs w:val="18"/>
              </w:rPr>
            </w:pPr>
          </w:p>
        </w:tc>
        <w:tc>
          <w:tcPr>
            <w:tcW w:w="2480" w:type="dxa"/>
            <w:vMerge w:val="continue"/>
            <w:shd w:val="clear" w:color="auto" w:fill="auto"/>
            <w:vAlign w:val="center"/>
          </w:tcPr>
          <w:p w14:paraId="23745A65">
            <w:pPr>
              <w:widowControl/>
              <w:jc w:val="left"/>
              <w:rPr>
                <w:rFonts w:ascii="仿宋" w:hAnsi="仿宋" w:eastAsia="仿宋" w:cs="宋体"/>
                <w:color w:val="000000"/>
                <w:kern w:val="0"/>
                <w:sz w:val="18"/>
                <w:szCs w:val="18"/>
              </w:rPr>
            </w:pPr>
          </w:p>
        </w:tc>
        <w:tc>
          <w:tcPr>
            <w:tcW w:w="3680" w:type="dxa"/>
            <w:shd w:val="clear" w:color="auto" w:fill="auto"/>
            <w:vAlign w:val="center"/>
          </w:tcPr>
          <w:p w14:paraId="498370A8">
            <w:pPr>
              <w:rPr>
                <w:rFonts w:ascii="仿宋" w:hAnsi="仿宋" w:eastAsia="仿宋" w:cs="宋体"/>
                <w:color w:val="000000"/>
                <w:sz w:val="18"/>
                <w:szCs w:val="18"/>
              </w:rPr>
            </w:pPr>
            <w:r>
              <w:rPr>
                <w:rFonts w:hint="eastAsia" w:ascii="仿宋" w:hAnsi="仿宋" w:eastAsia="仿宋"/>
                <w:color w:val="000000"/>
                <w:sz w:val="18"/>
                <w:szCs w:val="18"/>
              </w:rPr>
              <w:t>②  增加2个定期直达航点，计2分；差1个扣1分，多1个加1分，指标满分封顶。</w:t>
            </w:r>
          </w:p>
        </w:tc>
        <w:tc>
          <w:tcPr>
            <w:tcW w:w="1060" w:type="dxa"/>
            <w:vMerge w:val="continue"/>
            <w:shd w:val="clear" w:color="auto" w:fill="auto"/>
            <w:vAlign w:val="center"/>
          </w:tcPr>
          <w:p w14:paraId="54A75AC7">
            <w:pPr>
              <w:widowControl/>
              <w:jc w:val="left"/>
              <w:rPr>
                <w:rFonts w:ascii="仿宋" w:hAnsi="仿宋" w:eastAsia="仿宋" w:cs="宋体"/>
                <w:color w:val="000000"/>
                <w:kern w:val="0"/>
                <w:sz w:val="18"/>
                <w:szCs w:val="18"/>
              </w:rPr>
            </w:pPr>
          </w:p>
        </w:tc>
      </w:tr>
      <w:tr w14:paraId="77567527">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2" w:hRule="atLeast"/>
          <w:jc w:val="center"/>
        </w:trPr>
        <w:tc>
          <w:tcPr>
            <w:tcW w:w="1060" w:type="dxa"/>
            <w:vMerge w:val="continue"/>
            <w:shd w:val="clear" w:color="auto" w:fill="auto"/>
            <w:vAlign w:val="center"/>
          </w:tcPr>
          <w:p w14:paraId="59F137C5">
            <w:pPr>
              <w:widowControl/>
              <w:jc w:val="left"/>
              <w:rPr>
                <w:rFonts w:ascii="仿宋" w:hAnsi="仿宋" w:eastAsia="仿宋" w:cs="宋体"/>
                <w:kern w:val="0"/>
                <w:sz w:val="18"/>
                <w:szCs w:val="18"/>
              </w:rPr>
            </w:pPr>
          </w:p>
        </w:tc>
        <w:tc>
          <w:tcPr>
            <w:tcW w:w="1060" w:type="dxa"/>
            <w:vMerge w:val="continue"/>
            <w:shd w:val="clear" w:color="auto" w:fill="auto"/>
            <w:vAlign w:val="center"/>
          </w:tcPr>
          <w:p w14:paraId="4445D864">
            <w:pPr>
              <w:widowControl/>
              <w:jc w:val="left"/>
              <w:rPr>
                <w:rFonts w:ascii="仿宋" w:hAnsi="仿宋" w:eastAsia="仿宋" w:cs="宋体"/>
                <w:kern w:val="0"/>
                <w:sz w:val="18"/>
                <w:szCs w:val="18"/>
              </w:rPr>
            </w:pPr>
          </w:p>
        </w:tc>
        <w:tc>
          <w:tcPr>
            <w:tcW w:w="2480" w:type="dxa"/>
            <w:vMerge w:val="restart"/>
            <w:shd w:val="clear" w:color="auto" w:fill="auto"/>
            <w:vAlign w:val="center"/>
          </w:tcPr>
          <w:p w14:paraId="42390B3B">
            <w:pPr>
              <w:widowControl/>
              <w:rPr>
                <w:rFonts w:ascii="仿宋" w:hAnsi="仿宋" w:eastAsia="仿宋" w:cs="宋体"/>
                <w:color w:val="000000"/>
                <w:kern w:val="0"/>
                <w:sz w:val="18"/>
                <w:szCs w:val="18"/>
              </w:rPr>
            </w:pPr>
            <w:r>
              <w:rPr>
                <w:rFonts w:hint="eastAsia" w:ascii="仿宋" w:hAnsi="仿宋" w:eastAsia="仿宋"/>
                <w:color w:val="000000"/>
                <w:sz w:val="18"/>
                <w:szCs w:val="18"/>
              </w:rPr>
              <w:t>其他国际地区航线（5分）</w:t>
            </w:r>
          </w:p>
        </w:tc>
        <w:tc>
          <w:tcPr>
            <w:tcW w:w="3680" w:type="dxa"/>
            <w:shd w:val="clear" w:color="auto" w:fill="auto"/>
            <w:vAlign w:val="center"/>
          </w:tcPr>
          <w:p w14:paraId="6C923CF5">
            <w:pPr>
              <w:rPr>
                <w:rFonts w:ascii="仿宋" w:hAnsi="仿宋" w:eastAsia="仿宋" w:cs="宋体"/>
                <w:color w:val="000000"/>
                <w:sz w:val="18"/>
                <w:szCs w:val="18"/>
              </w:rPr>
            </w:pPr>
            <w:r>
              <w:rPr>
                <w:rFonts w:hint="eastAsia" w:ascii="仿宋" w:hAnsi="仿宋" w:eastAsia="仿宋"/>
                <w:color w:val="000000"/>
                <w:sz w:val="18"/>
                <w:szCs w:val="18"/>
              </w:rPr>
              <w:t>①  稳定上年其他国际地区航点，计3分；减少1个扣1分，扣完为止；</w:t>
            </w:r>
          </w:p>
        </w:tc>
        <w:tc>
          <w:tcPr>
            <w:tcW w:w="1060" w:type="dxa"/>
            <w:vMerge w:val="restart"/>
            <w:shd w:val="clear" w:color="auto" w:fill="auto"/>
            <w:noWrap/>
            <w:vAlign w:val="center"/>
          </w:tcPr>
          <w:p w14:paraId="783FC968">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5</w:t>
            </w:r>
          </w:p>
        </w:tc>
      </w:tr>
      <w:tr w14:paraId="5C97BBCA">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78" w:hRule="atLeast"/>
          <w:jc w:val="center"/>
        </w:trPr>
        <w:tc>
          <w:tcPr>
            <w:tcW w:w="1060" w:type="dxa"/>
            <w:vMerge w:val="continue"/>
            <w:shd w:val="clear" w:color="auto" w:fill="auto"/>
            <w:vAlign w:val="center"/>
          </w:tcPr>
          <w:p w14:paraId="4DDD07AB">
            <w:pPr>
              <w:widowControl/>
              <w:jc w:val="left"/>
              <w:rPr>
                <w:rFonts w:ascii="仿宋" w:hAnsi="仿宋" w:eastAsia="仿宋" w:cs="宋体"/>
                <w:kern w:val="0"/>
                <w:sz w:val="18"/>
                <w:szCs w:val="18"/>
              </w:rPr>
            </w:pPr>
          </w:p>
        </w:tc>
        <w:tc>
          <w:tcPr>
            <w:tcW w:w="1060" w:type="dxa"/>
            <w:vMerge w:val="continue"/>
            <w:shd w:val="clear" w:color="auto" w:fill="auto"/>
            <w:vAlign w:val="center"/>
          </w:tcPr>
          <w:p w14:paraId="2D089AEF">
            <w:pPr>
              <w:widowControl/>
              <w:jc w:val="left"/>
              <w:rPr>
                <w:rFonts w:ascii="仿宋" w:hAnsi="仿宋" w:eastAsia="仿宋" w:cs="宋体"/>
                <w:kern w:val="0"/>
                <w:sz w:val="18"/>
                <w:szCs w:val="18"/>
              </w:rPr>
            </w:pPr>
          </w:p>
        </w:tc>
        <w:tc>
          <w:tcPr>
            <w:tcW w:w="2480" w:type="dxa"/>
            <w:vMerge w:val="continue"/>
            <w:shd w:val="clear" w:color="auto" w:fill="auto"/>
            <w:vAlign w:val="center"/>
          </w:tcPr>
          <w:p w14:paraId="4F6D4AD7">
            <w:pPr>
              <w:widowControl/>
              <w:jc w:val="left"/>
              <w:rPr>
                <w:rFonts w:ascii="仿宋" w:hAnsi="仿宋" w:eastAsia="仿宋" w:cs="宋体"/>
                <w:color w:val="000000"/>
                <w:kern w:val="0"/>
                <w:sz w:val="18"/>
                <w:szCs w:val="18"/>
              </w:rPr>
            </w:pPr>
          </w:p>
        </w:tc>
        <w:tc>
          <w:tcPr>
            <w:tcW w:w="3680" w:type="dxa"/>
            <w:shd w:val="clear" w:color="auto" w:fill="auto"/>
            <w:vAlign w:val="center"/>
          </w:tcPr>
          <w:p w14:paraId="4E8B24DB">
            <w:pPr>
              <w:rPr>
                <w:rFonts w:ascii="仿宋" w:hAnsi="仿宋" w:eastAsia="仿宋" w:cs="宋体"/>
                <w:color w:val="000000"/>
                <w:sz w:val="18"/>
                <w:szCs w:val="18"/>
              </w:rPr>
            </w:pPr>
            <w:r>
              <w:rPr>
                <w:rFonts w:hint="eastAsia" w:ascii="仿宋" w:hAnsi="仿宋" w:eastAsia="仿宋"/>
                <w:color w:val="000000"/>
                <w:sz w:val="18"/>
                <w:szCs w:val="18"/>
              </w:rPr>
              <w:t>②  增加2个定期直达航点，计2分；差1个扣1分，多1个加1分，指标满分封顶。</w:t>
            </w:r>
          </w:p>
        </w:tc>
        <w:tc>
          <w:tcPr>
            <w:tcW w:w="1060" w:type="dxa"/>
            <w:vMerge w:val="continue"/>
            <w:shd w:val="clear" w:color="auto" w:fill="auto"/>
            <w:vAlign w:val="center"/>
          </w:tcPr>
          <w:p w14:paraId="674E62FA">
            <w:pPr>
              <w:widowControl/>
              <w:jc w:val="left"/>
              <w:rPr>
                <w:rFonts w:ascii="仿宋" w:hAnsi="仿宋" w:eastAsia="仿宋" w:cs="宋体"/>
                <w:color w:val="000000"/>
                <w:kern w:val="0"/>
                <w:sz w:val="18"/>
                <w:szCs w:val="18"/>
              </w:rPr>
            </w:pPr>
          </w:p>
        </w:tc>
      </w:tr>
      <w:tr w14:paraId="71ED02FA">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jc w:val="center"/>
        </w:trPr>
        <w:tc>
          <w:tcPr>
            <w:tcW w:w="1060" w:type="dxa"/>
            <w:vMerge w:val="continue"/>
            <w:shd w:val="clear" w:color="auto" w:fill="auto"/>
            <w:vAlign w:val="center"/>
          </w:tcPr>
          <w:p w14:paraId="7F7CAFFF">
            <w:pPr>
              <w:widowControl/>
              <w:jc w:val="left"/>
              <w:rPr>
                <w:rFonts w:ascii="仿宋" w:hAnsi="仿宋" w:eastAsia="仿宋" w:cs="宋体"/>
                <w:kern w:val="0"/>
                <w:sz w:val="18"/>
                <w:szCs w:val="18"/>
              </w:rPr>
            </w:pPr>
          </w:p>
        </w:tc>
        <w:tc>
          <w:tcPr>
            <w:tcW w:w="1060" w:type="dxa"/>
            <w:vMerge w:val="continue"/>
            <w:shd w:val="clear" w:color="auto" w:fill="auto"/>
            <w:vAlign w:val="center"/>
          </w:tcPr>
          <w:p w14:paraId="7AB9DB6F">
            <w:pPr>
              <w:widowControl/>
              <w:jc w:val="left"/>
              <w:rPr>
                <w:rFonts w:ascii="仿宋" w:hAnsi="仿宋" w:eastAsia="仿宋" w:cs="宋体"/>
                <w:kern w:val="0"/>
                <w:sz w:val="18"/>
                <w:szCs w:val="18"/>
              </w:rPr>
            </w:pPr>
          </w:p>
        </w:tc>
        <w:tc>
          <w:tcPr>
            <w:tcW w:w="2480" w:type="dxa"/>
            <w:vMerge w:val="restart"/>
            <w:shd w:val="clear" w:color="auto" w:fill="auto"/>
            <w:vAlign w:val="center"/>
          </w:tcPr>
          <w:p w14:paraId="3D066C7D">
            <w:pPr>
              <w:widowControl/>
              <w:rPr>
                <w:rFonts w:ascii="仿宋" w:hAnsi="仿宋" w:eastAsia="仿宋" w:cs="宋体"/>
                <w:color w:val="000000"/>
                <w:kern w:val="0"/>
                <w:sz w:val="18"/>
                <w:szCs w:val="18"/>
              </w:rPr>
            </w:pPr>
            <w:r>
              <w:rPr>
                <w:rFonts w:hint="eastAsia" w:ascii="仿宋" w:hAnsi="仿宋" w:eastAsia="仿宋"/>
                <w:color w:val="000000"/>
                <w:sz w:val="18"/>
                <w:szCs w:val="18"/>
              </w:rPr>
              <w:t>国内航线（5分）</w:t>
            </w:r>
          </w:p>
        </w:tc>
        <w:tc>
          <w:tcPr>
            <w:tcW w:w="3680" w:type="dxa"/>
            <w:shd w:val="clear" w:color="auto" w:fill="auto"/>
            <w:vAlign w:val="center"/>
          </w:tcPr>
          <w:p w14:paraId="2DF5D22B">
            <w:pPr>
              <w:rPr>
                <w:rFonts w:ascii="仿宋" w:hAnsi="仿宋" w:eastAsia="仿宋" w:cs="宋体"/>
                <w:color w:val="000000"/>
                <w:sz w:val="18"/>
                <w:szCs w:val="18"/>
              </w:rPr>
            </w:pPr>
            <w:r>
              <w:rPr>
                <w:rFonts w:hint="eastAsia" w:ascii="仿宋" w:hAnsi="仿宋" w:eastAsia="仿宋"/>
                <w:color w:val="000000"/>
                <w:sz w:val="18"/>
                <w:szCs w:val="18"/>
              </w:rPr>
              <w:t>①  稳定上年国内航点，计2分；减少1个扣1分，扣完为止；</w:t>
            </w:r>
          </w:p>
        </w:tc>
        <w:tc>
          <w:tcPr>
            <w:tcW w:w="1060" w:type="dxa"/>
            <w:vMerge w:val="restart"/>
            <w:shd w:val="clear" w:color="auto" w:fill="auto"/>
            <w:noWrap/>
            <w:vAlign w:val="center"/>
          </w:tcPr>
          <w:p w14:paraId="27AD5D50">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5</w:t>
            </w:r>
          </w:p>
        </w:tc>
      </w:tr>
      <w:tr w14:paraId="0F34427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9" w:hRule="atLeast"/>
          <w:jc w:val="center"/>
        </w:trPr>
        <w:tc>
          <w:tcPr>
            <w:tcW w:w="1060" w:type="dxa"/>
            <w:vMerge w:val="continue"/>
            <w:shd w:val="clear" w:color="auto" w:fill="auto"/>
            <w:vAlign w:val="center"/>
          </w:tcPr>
          <w:p w14:paraId="52F77157">
            <w:pPr>
              <w:widowControl/>
              <w:jc w:val="left"/>
              <w:rPr>
                <w:rFonts w:ascii="仿宋" w:hAnsi="仿宋" w:eastAsia="仿宋" w:cs="宋体"/>
                <w:kern w:val="0"/>
                <w:sz w:val="18"/>
                <w:szCs w:val="18"/>
              </w:rPr>
            </w:pPr>
          </w:p>
        </w:tc>
        <w:tc>
          <w:tcPr>
            <w:tcW w:w="1060" w:type="dxa"/>
            <w:vMerge w:val="continue"/>
            <w:shd w:val="clear" w:color="auto" w:fill="auto"/>
            <w:vAlign w:val="center"/>
          </w:tcPr>
          <w:p w14:paraId="7E665530">
            <w:pPr>
              <w:widowControl/>
              <w:jc w:val="left"/>
              <w:rPr>
                <w:rFonts w:ascii="仿宋" w:hAnsi="仿宋" w:eastAsia="仿宋" w:cs="宋体"/>
                <w:kern w:val="0"/>
                <w:sz w:val="18"/>
                <w:szCs w:val="18"/>
              </w:rPr>
            </w:pPr>
          </w:p>
        </w:tc>
        <w:tc>
          <w:tcPr>
            <w:tcW w:w="2480" w:type="dxa"/>
            <w:vMerge w:val="continue"/>
            <w:shd w:val="clear" w:color="auto" w:fill="auto"/>
            <w:vAlign w:val="center"/>
          </w:tcPr>
          <w:p w14:paraId="19849875">
            <w:pPr>
              <w:widowControl/>
              <w:jc w:val="left"/>
              <w:rPr>
                <w:rFonts w:ascii="仿宋" w:hAnsi="仿宋" w:eastAsia="仿宋" w:cs="宋体"/>
                <w:color w:val="000000"/>
                <w:kern w:val="0"/>
                <w:sz w:val="18"/>
                <w:szCs w:val="18"/>
              </w:rPr>
            </w:pPr>
          </w:p>
        </w:tc>
        <w:tc>
          <w:tcPr>
            <w:tcW w:w="3680" w:type="dxa"/>
            <w:shd w:val="clear" w:color="auto" w:fill="auto"/>
            <w:vAlign w:val="center"/>
          </w:tcPr>
          <w:p w14:paraId="69E1217F">
            <w:pPr>
              <w:rPr>
                <w:rFonts w:ascii="仿宋" w:hAnsi="仿宋" w:eastAsia="仿宋" w:cs="宋体"/>
                <w:color w:val="000000"/>
                <w:sz w:val="18"/>
                <w:szCs w:val="18"/>
              </w:rPr>
            </w:pPr>
            <w:r>
              <w:rPr>
                <w:rFonts w:hint="eastAsia" w:ascii="仿宋" w:hAnsi="仿宋" w:eastAsia="仿宋"/>
                <w:color w:val="000000"/>
                <w:sz w:val="18"/>
                <w:szCs w:val="18"/>
              </w:rPr>
              <w:t>②  增加5个定期直达航点，计3分；差1个扣1分，多1个加1分，指标满分封顶。</w:t>
            </w:r>
          </w:p>
        </w:tc>
        <w:tc>
          <w:tcPr>
            <w:tcW w:w="1060" w:type="dxa"/>
            <w:vMerge w:val="continue"/>
            <w:shd w:val="clear" w:color="auto" w:fill="auto"/>
            <w:vAlign w:val="center"/>
          </w:tcPr>
          <w:p w14:paraId="51BD9ECB">
            <w:pPr>
              <w:widowControl/>
              <w:jc w:val="left"/>
              <w:rPr>
                <w:rFonts w:ascii="仿宋" w:hAnsi="仿宋" w:eastAsia="仿宋" w:cs="宋体"/>
                <w:color w:val="000000"/>
                <w:kern w:val="0"/>
                <w:sz w:val="18"/>
                <w:szCs w:val="18"/>
              </w:rPr>
            </w:pPr>
          </w:p>
        </w:tc>
      </w:tr>
      <w:tr w14:paraId="0804CA5A">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08CA2F75">
            <w:pPr>
              <w:widowControl/>
              <w:jc w:val="left"/>
              <w:rPr>
                <w:rFonts w:ascii="仿宋" w:hAnsi="仿宋" w:eastAsia="仿宋" w:cs="宋体"/>
                <w:kern w:val="0"/>
                <w:sz w:val="18"/>
                <w:szCs w:val="18"/>
              </w:rPr>
            </w:pPr>
          </w:p>
        </w:tc>
        <w:tc>
          <w:tcPr>
            <w:tcW w:w="1060" w:type="dxa"/>
            <w:vMerge w:val="restart"/>
            <w:shd w:val="clear" w:color="auto" w:fill="auto"/>
            <w:vAlign w:val="center"/>
          </w:tcPr>
          <w:p w14:paraId="288ADBCA">
            <w:pPr>
              <w:jc w:val="center"/>
              <w:rPr>
                <w:rFonts w:ascii="仿宋" w:hAnsi="仿宋" w:eastAsia="仿宋" w:cs="宋体"/>
                <w:sz w:val="18"/>
                <w:szCs w:val="18"/>
              </w:rPr>
            </w:pPr>
            <w:r>
              <w:rPr>
                <w:rFonts w:hint="eastAsia" w:ascii="仿宋" w:hAnsi="仿宋" w:eastAsia="仿宋"/>
                <w:sz w:val="18"/>
                <w:szCs w:val="18"/>
              </w:rPr>
              <w:t>中转指标</w:t>
            </w:r>
            <w:r>
              <w:rPr>
                <w:rFonts w:hint="eastAsia" w:ascii="仿宋" w:hAnsi="仿宋" w:eastAsia="仿宋"/>
                <w:sz w:val="18"/>
                <w:szCs w:val="18"/>
              </w:rPr>
              <w:br w:type="textWrapping"/>
            </w:r>
            <w:r>
              <w:rPr>
                <w:rFonts w:hint="eastAsia" w:ascii="仿宋" w:hAnsi="仿宋" w:eastAsia="仿宋"/>
                <w:sz w:val="18"/>
                <w:szCs w:val="18"/>
              </w:rPr>
              <w:t>（7分）</w:t>
            </w:r>
          </w:p>
        </w:tc>
        <w:tc>
          <w:tcPr>
            <w:tcW w:w="2480" w:type="dxa"/>
            <w:vMerge w:val="restart"/>
            <w:shd w:val="clear" w:color="auto" w:fill="auto"/>
            <w:vAlign w:val="center"/>
          </w:tcPr>
          <w:p w14:paraId="3B3A7113">
            <w:pPr>
              <w:rPr>
                <w:rFonts w:ascii="仿宋" w:hAnsi="仿宋" w:eastAsia="仿宋" w:cs="宋体"/>
                <w:color w:val="000000"/>
                <w:sz w:val="18"/>
                <w:szCs w:val="18"/>
              </w:rPr>
            </w:pPr>
            <w:r>
              <w:rPr>
                <w:rFonts w:hint="eastAsia" w:ascii="仿宋" w:hAnsi="仿宋" w:eastAsia="仿宋"/>
                <w:color w:val="000000"/>
                <w:sz w:val="18"/>
                <w:szCs w:val="18"/>
              </w:rPr>
              <w:t>客运中转（2分）</w:t>
            </w:r>
          </w:p>
        </w:tc>
        <w:tc>
          <w:tcPr>
            <w:tcW w:w="3680" w:type="dxa"/>
            <w:shd w:val="clear" w:color="auto" w:fill="auto"/>
            <w:vAlign w:val="center"/>
          </w:tcPr>
          <w:p w14:paraId="3F763073">
            <w:pPr>
              <w:rPr>
                <w:rFonts w:ascii="仿宋" w:hAnsi="仿宋" w:eastAsia="仿宋" w:cs="宋体"/>
                <w:sz w:val="18"/>
                <w:szCs w:val="18"/>
              </w:rPr>
            </w:pPr>
            <w:r>
              <w:rPr>
                <w:rFonts w:hint="eastAsia" w:ascii="仿宋" w:hAnsi="仿宋" w:eastAsia="仿宋"/>
                <w:sz w:val="18"/>
                <w:szCs w:val="18"/>
              </w:rPr>
              <w:t>①  客运中转总人数较上年增幅达到25%，计2分；</w:t>
            </w:r>
          </w:p>
        </w:tc>
        <w:tc>
          <w:tcPr>
            <w:tcW w:w="1060" w:type="dxa"/>
            <w:vMerge w:val="restart"/>
            <w:shd w:val="clear" w:color="auto" w:fill="auto"/>
            <w:noWrap/>
            <w:vAlign w:val="center"/>
          </w:tcPr>
          <w:p w14:paraId="0C067B04">
            <w:pPr>
              <w:jc w:val="center"/>
              <w:rPr>
                <w:rFonts w:ascii="仿宋" w:hAnsi="仿宋" w:eastAsia="仿宋" w:cs="宋体"/>
                <w:sz w:val="18"/>
                <w:szCs w:val="18"/>
              </w:rPr>
            </w:pPr>
            <w:r>
              <w:rPr>
                <w:rFonts w:hint="eastAsia" w:ascii="仿宋" w:hAnsi="仿宋" w:eastAsia="仿宋"/>
                <w:sz w:val="18"/>
                <w:szCs w:val="18"/>
              </w:rPr>
              <w:t xml:space="preserve">1.68 </w:t>
            </w:r>
          </w:p>
        </w:tc>
      </w:tr>
      <w:tr w14:paraId="730A90F2">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09ADD5F7">
            <w:pPr>
              <w:widowControl/>
              <w:jc w:val="left"/>
              <w:rPr>
                <w:rFonts w:ascii="仿宋" w:hAnsi="仿宋" w:eastAsia="仿宋" w:cs="宋体"/>
                <w:kern w:val="0"/>
                <w:sz w:val="18"/>
                <w:szCs w:val="18"/>
              </w:rPr>
            </w:pPr>
          </w:p>
        </w:tc>
        <w:tc>
          <w:tcPr>
            <w:tcW w:w="1060" w:type="dxa"/>
            <w:vMerge w:val="continue"/>
            <w:shd w:val="clear" w:color="auto" w:fill="auto"/>
            <w:vAlign w:val="center"/>
          </w:tcPr>
          <w:p w14:paraId="4015E4CB">
            <w:pPr>
              <w:widowControl/>
              <w:jc w:val="left"/>
              <w:rPr>
                <w:rFonts w:ascii="仿宋" w:hAnsi="仿宋" w:eastAsia="仿宋" w:cs="宋体"/>
                <w:kern w:val="0"/>
                <w:sz w:val="18"/>
                <w:szCs w:val="18"/>
              </w:rPr>
            </w:pPr>
          </w:p>
        </w:tc>
        <w:tc>
          <w:tcPr>
            <w:tcW w:w="2480" w:type="dxa"/>
            <w:vMerge w:val="continue"/>
            <w:shd w:val="clear" w:color="auto" w:fill="auto"/>
            <w:vAlign w:val="center"/>
          </w:tcPr>
          <w:p w14:paraId="0107435A">
            <w:pPr>
              <w:widowControl/>
              <w:jc w:val="left"/>
              <w:rPr>
                <w:rFonts w:ascii="仿宋" w:hAnsi="仿宋" w:eastAsia="仿宋" w:cs="宋体"/>
                <w:color w:val="000000"/>
                <w:kern w:val="0"/>
                <w:sz w:val="18"/>
                <w:szCs w:val="18"/>
              </w:rPr>
            </w:pPr>
          </w:p>
        </w:tc>
        <w:tc>
          <w:tcPr>
            <w:tcW w:w="3680" w:type="dxa"/>
            <w:shd w:val="clear" w:color="auto" w:fill="auto"/>
            <w:vAlign w:val="center"/>
          </w:tcPr>
          <w:p w14:paraId="64331436">
            <w:pPr>
              <w:widowControl/>
              <w:jc w:val="left"/>
              <w:rPr>
                <w:rFonts w:ascii="仿宋" w:hAnsi="仿宋" w:eastAsia="仿宋" w:cs="宋体"/>
                <w:kern w:val="0"/>
                <w:sz w:val="18"/>
                <w:szCs w:val="18"/>
              </w:rPr>
            </w:pPr>
            <w:r>
              <w:rPr>
                <w:rFonts w:hint="eastAsia" w:ascii="仿宋" w:hAnsi="仿宋" w:eastAsia="仿宋"/>
                <w:sz w:val="18"/>
                <w:szCs w:val="18"/>
              </w:rPr>
              <w:t>②  增幅在25%以下，按实际增幅与25%的比值，乘以2分计分，扣完为止。</w:t>
            </w:r>
          </w:p>
        </w:tc>
        <w:tc>
          <w:tcPr>
            <w:tcW w:w="1060" w:type="dxa"/>
            <w:vMerge w:val="continue"/>
            <w:shd w:val="clear" w:color="auto" w:fill="auto"/>
            <w:vAlign w:val="center"/>
          </w:tcPr>
          <w:p w14:paraId="173C44B2">
            <w:pPr>
              <w:widowControl/>
              <w:jc w:val="left"/>
              <w:rPr>
                <w:rFonts w:ascii="仿宋" w:hAnsi="仿宋" w:eastAsia="仿宋" w:cs="宋体"/>
                <w:kern w:val="0"/>
                <w:sz w:val="18"/>
                <w:szCs w:val="18"/>
              </w:rPr>
            </w:pPr>
          </w:p>
        </w:tc>
      </w:tr>
      <w:tr w14:paraId="44268CBC">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36023E2F">
            <w:pPr>
              <w:widowControl/>
              <w:jc w:val="left"/>
              <w:rPr>
                <w:rFonts w:ascii="仿宋" w:hAnsi="仿宋" w:eastAsia="仿宋" w:cs="宋体"/>
                <w:kern w:val="0"/>
                <w:sz w:val="18"/>
                <w:szCs w:val="18"/>
              </w:rPr>
            </w:pPr>
          </w:p>
        </w:tc>
        <w:tc>
          <w:tcPr>
            <w:tcW w:w="1060" w:type="dxa"/>
            <w:vMerge w:val="continue"/>
            <w:shd w:val="clear" w:color="auto" w:fill="auto"/>
            <w:vAlign w:val="center"/>
          </w:tcPr>
          <w:p w14:paraId="6ED1A444">
            <w:pPr>
              <w:widowControl/>
              <w:jc w:val="left"/>
              <w:rPr>
                <w:rFonts w:ascii="仿宋" w:hAnsi="仿宋" w:eastAsia="仿宋" w:cs="宋体"/>
                <w:kern w:val="0"/>
                <w:sz w:val="18"/>
                <w:szCs w:val="18"/>
              </w:rPr>
            </w:pPr>
          </w:p>
        </w:tc>
        <w:tc>
          <w:tcPr>
            <w:tcW w:w="2480" w:type="dxa"/>
            <w:vMerge w:val="restart"/>
            <w:shd w:val="clear" w:color="auto" w:fill="auto"/>
            <w:vAlign w:val="center"/>
          </w:tcPr>
          <w:p w14:paraId="1C9B32E4">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货邮中转（2分）</w:t>
            </w:r>
          </w:p>
        </w:tc>
        <w:tc>
          <w:tcPr>
            <w:tcW w:w="3680" w:type="dxa"/>
            <w:shd w:val="clear" w:color="auto" w:fill="auto"/>
            <w:vAlign w:val="center"/>
          </w:tcPr>
          <w:p w14:paraId="6091D230">
            <w:pPr>
              <w:widowControl/>
              <w:jc w:val="left"/>
              <w:rPr>
                <w:rFonts w:ascii="仿宋" w:hAnsi="仿宋" w:eastAsia="仿宋" w:cs="宋体"/>
                <w:kern w:val="0"/>
                <w:sz w:val="18"/>
                <w:szCs w:val="18"/>
              </w:rPr>
            </w:pPr>
            <w:r>
              <w:rPr>
                <w:rFonts w:hint="eastAsia" w:ascii="仿宋" w:hAnsi="仿宋" w:eastAsia="仿宋"/>
                <w:sz w:val="18"/>
                <w:szCs w:val="18"/>
              </w:rPr>
              <w:t>①  货邮中转总吨数较上年同期增幅达到10%，计2分；</w:t>
            </w:r>
          </w:p>
        </w:tc>
        <w:tc>
          <w:tcPr>
            <w:tcW w:w="1060" w:type="dxa"/>
            <w:vMerge w:val="restart"/>
            <w:shd w:val="clear" w:color="auto" w:fill="auto"/>
            <w:noWrap/>
            <w:vAlign w:val="center"/>
          </w:tcPr>
          <w:p w14:paraId="5C9BC4DD">
            <w:pPr>
              <w:widowControl/>
              <w:jc w:val="center"/>
              <w:rPr>
                <w:rFonts w:ascii="仿宋" w:hAnsi="仿宋" w:eastAsia="仿宋" w:cs="宋体"/>
                <w:kern w:val="0"/>
                <w:sz w:val="18"/>
                <w:szCs w:val="18"/>
              </w:rPr>
            </w:pPr>
            <w:r>
              <w:rPr>
                <w:rFonts w:hint="eastAsia" w:ascii="仿宋" w:hAnsi="仿宋" w:eastAsia="仿宋"/>
                <w:sz w:val="18"/>
                <w:szCs w:val="18"/>
              </w:rPr>
              <w:t xml:space="preserve">1.53 </w:t>
            </w:r>
          </w:p>
        </w:tc>
      </w:tr>
      <w:tr w14:paraId="46AE622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346E4F78">
            <w:pPr>
              <w:widowControl/>
              <w:jc w:val="left"/>
              <w:rPr>
                <w:rFonts w:ascii="仿宋" w:hAnsi="仿宋" w:eastAsia="仿宋" w:cs="宋体"/>
                <w:kern w:val="0"/>
                <w:sz w:val="18"/>
                <w:szCs w:val="18"/>
              </w:rPr>
            </w:pPr>
          </w:p>
        </w:tc>
        <w:tc>
          <w:tcPr>
            <w:tcW w:w="1060" w:type="dxa"/>
            <w:vMerge w:val="continue"/>
            <w:shd w:val="clear" w:color="auto" w:fill="auto"/>
            <w:vAlign w:val="center"/>
          </w:tcPr>
          <w:p w14:paraId="50F0A778">
            <w:pPr>
              <w:widowControl/>
              <w:jc w:val="left"/>
              <w:rPr>
                <w:rFonts w:ascii="仿宋" w:hAnsi="仿宋" w:eastAsia="仿宋" w:cs="宋体"/>
                <w:kern w:val="0"/>
                <w:sz w:val="18"/>
                <w:szCs w:val="18"/>
              </w:rPr>
            </w:pPr>
          </w:p>
        </w:tc>
        <w:tc>
          <w:tcPr>
            <w:tcW w:w="2480" w:type="dxa"/>
            <w:vMerge w:val="continue"/>
            <w:shd w:val="clear" w:color="auto" w:fill="auto"/>
            <w:vAlign w:val="center"/>
          </w:tcPr>
          <w:p w14:paraId="1358727C">
            <w:pPr>
              <w:widowControl/>
              <w:jc w:val="left"/>
              <w:rPr>
                <w:rFonts w:ascii="仿宋" w:hAnsi="仿宋" w:eastAsia="仿宋" w:cs="宋体"/>
                <w:color w:val="000000"/>
                <w:kern w:val="0"/>
                <w:sz w:val="18"/>
                <w:szCs w:val="18"/>
              </w:rPr>
            </w:pPr>
          </w:p>
        </w:tc>
        <w:tc>
          <w:tcPr>
            <w:tcW w:w="3680" w:type="dxa"/>
            <w:shd w:val="clear" w:color="auto" w:fill="auto"/>
            <w:vAlign w:val="center"/>
          </w:tcPr>
          <w:p w14:paraId="777690AC">
            <w:pPr>
              <w:widowControl/>
              <w:jc w:val="left"/>
              <w:rPr>
                <w:rFonts w:ascii="仿宋" w:hAnsi="仿宋" w:eastAsia="仿宋" w:cs="宋体"/>
                <w:kern w:val="0"/>
                <w:sz w:val="18"/>
                <w:szCs w:val="18"/>
              </w:rPr>
            </w:pPr>
            <w:r>
              <w:rPr>
                <w:rFonts w:hint="eastAsia" w:ascii="仿宋" w:hAnsi="仿宋" w:eastAsia="仿宋"/>
                <w:sz w:val="18"/>
                <w:szCs w:val="18"/>
              </w:rPr>
              <w:t>②  增幅在10%以下，按实际增幅与10%的比值，乘以2分计分，扣完为止。</w:t>
            </w:r>
          </w:p>
        </w:tc>
        <w:tc>
          <w:tcPr>
            <w:tcW w:w="1060" w:type="dxa"/>
            <w:vMerge w:val="continue"/>
            <w:shd w:val="clear" w:color="auto" w:fill="auto"/>
            <w:vAlign w:val="center"/>
          </w:tcPr>
          <w:p w14:paraId="457E584B">
            <w:pPr>
              <w:widowControl/>
              <w:jc w:val="left"/>
              <w:rPr>
                <w:rFonts w:ascii="仿宋" w:hAnsi="仿宋" w:eastAsia="仿宋" w:cs="宋体"/>
                <w:kern w:val="0"/>
                <w:sz w:val="18"/>
                <w:szCs w:val="18"/>
              </w:rPr>
            </w:pPr>
          </w:p>
        </w:tc>
      </w:tr>
      <w:tr w14:paraId="6DF058E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6CE490A1">
            <w:pPr>
              <w:widowControl/>
              <w:jc w:val="left"/>
              <w:rPr>
                <w:rFonts w:ascii="仿宋" w:hAnsi="仿宋" w:eastAsia="仿宋" w:cs="宋体"/>
                <w:kern w:val="0"/>
                <w:sz w:val="18"/>
                <w:szCs w:val="18"/>
              </w:rPr>
            </w:pPr>
          </w:p>
        </w:tc>
        <w:tc>
          <w:tcPr>
            <w:tcW w:w="1060" w:type="dxa"/>
            <w:vMerge w:val="continue"/>
            <w:shd w:val="clear" w:color="auto" w:fill="auto"/>
            <w:vAlign w:val="center"/>
          </w:tcPr>
          <w:p w14:paraId="19DB71D5">
            <w:pPr>
              <w:widowControl/>
              <w:jc w:val="left"/>
              <w:rPr>
                <w:rFonts w:ascii="仿宋" w:hAnsi="仿宋" w:eastAsia="仿宋" w:cs="宋体"/>
                <w:kern w:val="0"/>
                <w:sz w:val="18"/>
                <w:szCs w:val="18"/>
              </w:rPr>
            </w:pPr>
          </w:p>
        </w:tc>
        <w:tc>
          <w:tcPr>
            <w:tcW w:w="2480" w:type="dxa"/>
            <w:vMerge w:val="restart"/>
            <w:shd w:val="clear" w:color="auto" w:fill="auto"/>
            <w:vAlign w:val="center"/>
          </w:tcPr>
          <w:p w14:paraId="0C3BE6B1">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跨航司中转试点（3分）</w:t>
            </w:r>
          </w:p>
        </w:tc>
        <w:tc>
          <w:tcPr>
            <w:tcW w:w="3680" w:type="dxa"/>
            <w:shd w:val="clear" w:color="auto" w:fill="auto"/>
            <w:vAlign w:val="center"/>
          </w:tcPr>
          <w:p w14:paraId="79A77277">
            <w:pPr>
              <w:widowControl/>
              <w:jc w:val="left"/>
              <w:rPr>
                <w:rFonts w:ascii="仿宋" w:hAnsi="仿宋" w:eastAsia="仿宋" w:cs="宋体"/>
                <w:kern w:val="0"/>
                <w:sz w:val="18"/>
                <w:szCs w:val="18"/>
              </w:rPr>
            </w:pPr>
            <w:r>
              <w:rPr>
                <w:rFonts w:hint="eastAsia" w:ascii="仿宋" w:hAnsi="仿宋" w:eastAsia="仿宋"/>
                <w:sz w:val="18"/>
                <w:szCs w:val="18"/>
              </w:rPr>
              <w:t>①  编制国内中转旅客“跨航司”行李直挂服务试点报告，并上报民航局，计1分；</w:t>
            </w:r>
          </w:p>
        </w:tc>
        <w:tc>
          <w:tcPr>
            <w:tcW w:w="1060" w:type="dxa"/>
            <w:vMerge w:val="restart"/>
            <w:shd w:val="clear" w:color="auto" w:fill="auto"/>
            <w:noWrap/>
            <w:vAlign w:val="center"/>
          </w:tcPr>
          <w:p w14:paraId="5121149B">
            <w:pPr>
              <w:widowControl/>
              <w:jc w:val="center"/>
              <w:rPr>
                <w:rFonts w:ascii="仿宋" w:hAnsi="仿宋" w:eastAsia="仿宋" w:cs="宋体"/>
                <w:kern w:val="0"/>
                <w:sz w:val="18"/>
                <w:szCs w:val="18"/>
              </w:rPr>
            </w:pPr>
            <w:r>
              <w:rPr>
                <w:rFonts w:hint="eastAsia" w:ascii="仿宋" w:hAnsi="仿宋" w:eastAsia="仿宋"/>
                <w:sz w:val="18"/>
                <w:szCs w:val="18"/>
              </w:rPr>
              <w:t>3</w:t>
            </w:r>
          </w:p>
        </w:tc>
      </w:tr>
      <w:tr w14:paraId="4FB4730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5C81634C">
            <w:pPr>
              <w:widowControl/>
              <w:jc w:val="left"/>
              <w:rPr>
                <w:rFonts w:ascii="仿宋" w:hAnsi="仿宋" w:eastAsia="仿宋" w:cs="宋体"/>
                <w:kern w:val="0"/>
                <w:sz w:val="18"/>
                <w:szCs w:val="18"/>
              </w:rPr>
            </w:pPr>
          </w:p>
        </w:tc>
        <w:tc>
          <w:tcPr>
            <w:tcW w:w="1060" w:type="dxa"/>
            <w:vMerge w:val="continue"/>
            <w:shd w:val="clear" w:color="auto" w:fill="auto"/>
            <w:vAlign w:val="center"/>
          </w:tcPr>
          <w:p w14:paraId="21091CCB">
            <w:pPr>
              <w:widowControl/>
              <w:jc w:val="left"/>
              <w:rPr>
                <w:rFonts w:ascii="仿宋" w:hAnsi="仿宋" w:eastAsia="仿宋" w:cs="宋体"/>
                <w:kern w:val="0"/>
                <w:sz w:val="18"/>
                <w:szCs w:val="18"/>
              </w:rPr>
            </w:pPr>
          </w:p>
        </w:tc>
        <w:tc>
          <w:tcPr>
            <w:tcW w:w="2480" w:type="dxa"/>
            <w:vMerge w:val="continue"/>
            <w:shd w:val="clear" w:color="auto" w:fill="auto"/>
            <w:vAlign w:val="center"/>
          </w:tcPr>
          <w:p w14:paraId="6E436D96">
            <w:pPr>
              <w:widowControl/>
              <w:jc w:val="left"/>
              <w:rPr>
                <w:rFonts w:ascii="仿宋" w:hAnsi="仿宋" w:eastAsia="仿宋" w:cs="宋体"/>
                <w:color w:val="000000"/>
                <w:kern w:val="0"/>
                <w:sz w:val="18"/>
                <w:szCs w:val="18"/>
              </w:rPr>
            </w:pPr>
          </w:p>
        </w:tc>
        <w:tc>
          <w:tcPr>
            <w:tcW w:w="3680" w:type="dxa"/>
            <w:shd w:val="clear" w:color="auto" w:fill="auto"/>
            <w:vAlign w:val="center"/>
          </w:tcPr>
          <w:p w14:paraId="4DEEE420">
            <w:pPr>
              <w:widowControl/>
              <w:jc w:val="left"/>
              <w:rPr>
                <w:rFonts w:ascii="仿宋" w:hAnsi="仿宋" w:eastAsia="仿宋" w:cs="宋体"/>
                <w:kern w:val="0"/>
                <w:sz w:val="18"/>
                <w:szCs w:val="18"/>
              </w:rPr>
            </w:pPr>
            <w:r>
              <w:rPr>
                <w:rFonts w:hint="eastAsia" w:ascii="仿宋" w:hAnsi="仿宋" w:eastAsia="仿宋"/>
                <w:sz w:val="18"/>
                <w:szCs w:val="18"/>
              </w:rPr>
              <w:t>②  获民航局审批为国内中转旅客“跨航司”行李直挂服务试点单位，计2分。</w:t>
            </w:r>
          </w:p>
        </w:tc>
        <w:tc>
          <w:tcPr>
            <w:tcW w:w="1060" w:type="dxa"/>
            <w:vMerge w:val="continue"/>
            <w:shd w:val="clear" w:color="auto" w:fill="auto"/>
            <w:vAlign w:val="center"/>
          </w:tcPr>
          <w:p w14:paraId="743FCB64">
            <w:pPr>
              <w:widowControl/>
              <w:jc w:val="left"/>
              <w:rPr>
                <w:rFonts w:ascii="仿宋" w:hAnsi="仿宋" w:eastAsia="仿宋" w:cs="宋体"/>
                <w:kern w:val="0"/>
                <w:sz w:val="18"/>
                <w:szCs w:val="18"/>
              </w:rPr>
            </w:pPr>
          </w:p>
        </w:tc>
      </w:tr>
      <w:tr w14:paraId="3D054737">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shd w:val="clear" w:color="auto" w:fill="auto"/>
            <w:vAlign w:val="center"/>
          </w:tcPr>
          <w:p w14:paraId="4242BD6B">
            <w:pPr>
              <w:widowControl/>
              <w:jc w:val="center"/>
              <w:rPr>
                <w:rFonts w:ascii="仿宋" w:hAnsi="仿宋" w:eastAsia="仿宋" w:cs="宋体"/>
                <w:b/>
                <w:kern w:val="0"/>
                <w:sz w:val="18"/>
                <w:szCs w:val="18"/>
              </w:rPr>
            </w:pPr>
            <w:r>
              <w:rPr>
                <w:rFonts w:hint="eastAsia" w:ascii="仿宋" w:hAnsi="仿宋" w:eastAsia="仿宋" w:cs="宋体"/>
                <w:b/>
                <w:kern w:val="0"/>
                <w:sz w:val="18"/>
                <w:szCs w:val="18"/>
              </w:rPr>
              <w:t>小计</w:t>
            </w:r>
          </w:p>
        </w:tc>
        <w:tc>
          <w:tcPr>
            <w:tcW w:w="1060" w:type="dxa"/>
            <w:shd w:val="clear" w:color="auto" w:fill="auto"/>
            <w:vAlign w:val="center"/>
          </w:tcPr>
          <w:p w14:paraId="58C09770">
            <w:pPr>
              <w:widowControl/>
              <w:jc w:val="center"/>
              <w:rPr>
                <w:rFonts w:ascii="仿宋" w:hAnsi="仿宋" w:eastAsia="仿宋" w:cs="宋体"/>
                <w:b/>
                <w:kern w:val="0"/>
                <w:sz w:val="18"/>
                <w:szCs w:val="18"/>
              </w:rPr>
            </w:pPr>
            <w:r>
              <w:rPr>
                <w:rFonts w:hint="eastAsia" w:ascii="仿宋" w:hAnsi="仿宋" w:eastAsia="仿宋" w:cs="宋体"/>
                <w:b/>
                <w:kern w:val="0"/>
                <w:sz w:val="18"/>
                <w:szCs w:val="18"/>
              </w:rPr>
              <w:t>3</w:t>
            </w:r>
            <w:r>
              <w:rPr>
                <w:rFonts w:ascii="仿宋" w:hAnsi="仿宋" w:eastAsia="仿宋" w:cs="宋体"/>
                <w:b/>
                <w:kern w:val="0"/>
                <w:sz w:val="18"/>
                <w:szCs w:val="18"/>
              </w:rPr>
              <w:t>4</w:t>
            </w:r>
          </w:p>
        </w:tc>
        <w:tc>
          <w:tcPr>
            <w:tcW w:w="2480" w:type="dxa"/>
            <w:shd w:val="clear" w:color="auto" w:fill="auto"/>
            <w:vAlign w:val="center"/>
          </w:tcPr>
          <w:p w14:paraId="6C167B73">
            <w:pPr>
              <w:widowControl/>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3</w:t>
            </w:r>
            <w:r>
              <w:rPr>
                <w:rFonts w:ascii="仿宋" w:hAnsi="仿宋" w:eastAsia="仿宋" w:cs="宋体"/>
                <w:b/>
                <w:color w:val="000000"/>
                <w:kern w:val="0"/>
                <w:sz w:val="18"/>
                <w:szCs w:val="18"/>
              </w:rPr>
              <w:t>4</w:t>
            </w:r>
          </w:p>
        </w:tc>
        <w:tc>
          <w:tcPr>
            <w:tcW w:w="3680" w:type="dxa"/>
            <w:shd w:val="clear" w:color="auto" w:fill="auto"/>
            <w:vAlign w:val="center"/>
          </w:tcPr>
          <w:p w14:paraId="624D6FDC">
            <w:pPr>
              <w:widowControl/>
              <w:jc w:val="center"/>
              <w:rPr>
                <w:rFonts w:ascii="仿宋" w:hAnsi="仿宋" w:eastAsia="仿宋" w:cs="宋体"/>
                <w:b/>
                <w:kern w:val="0"/>
                <w:sz w:val="18"/>
                <w:szCs w:val="18"/>
              </w:rPr>
            </w:pPr>
            <w:r>
              <w:rPr>
                <w:rFonts w:hint="eastAsia" w:ascii="仿宋" w:hAnsi="仿宋" w:eastAsia="仿宋" w:cs="宋体"/>
                <w:b/>
                <w:kern w:val="0"/>
                <w:sz w:val="18"/>
                <w:szCs w:val="18"/>
              </w:rPr>
              <w:t>——</w:t>
            </w:r>
          </w:p>
        </w:tc>
        <w:tc>
          <w:tcPr>
            <w:tcW w:w="1060" w:type="dxa"/>
            <w:shd w:val="clear" w:color="auto" w:fill="auto"/>
            <w:vAlign w:val="center"/>
          </w:tcPr>
          <w:p w14:paraId="662925A1">
            <w:pPr>
              <w:widowControl/>
              <w:jc w:val="center"/>
              <w:rPr>
                <w:rFonts w:ascii="仿宋" w:hAnsi="仿宋" w:eastAsia="仿宋" w:cs="宋体"/>
                <w:b/>
                <w:kern w:val="0"/>
                <w:sz w:val="18"/>
                <w:szCs w:val="18"/>
              </w:rPr>
            </w:pPr>
            <w:r>
              <w:rPr>
                <w:rFonts w:hint="eastAsia" w:ascii="仿宋" w:hAnsi="仿宋" w:eastAsia="仿宋" w:cs="宋体"/>
                <w:b/>
                <w:kern w:val="0"/>
                <w:sz w:val="18"/>
                <w:szCs w:val="18"/>
              </w:rPr>
              <w:t>32.91</w:t>
            </w:r>
          </w:p>
        </w:tc>
      </w:tr>
    </w:tbl>
    <w:p w14:paraId="0AA9B876">
      <w:pPr>
        <w:pStyle w:val="35"/>
        <w:spacing w:before="156" w:after="156"/>
        <w:ind w:firstLine="480"/>
      </w:pPr>
      <w:bookmarkStart w:id="81" w:name="_Toc39760585"/>
      <w:r>
        <w:rPr>
          <w:rFonts w:hint="eastAsia"/>
        </w:rPr>
        <w:t>（1）运营指标（12分）</w:t>
      </w:r>
      <w:bookmarkEnd w:id="81"/>
    </w:p>
    <w:p w14:paraId="1A5DEFA2">
      <w:pPr>
        <w:pStyle w:val="35"/>
        <w:spacing w:before="156" w:after="156"/>
        <w:ind w:firstLine="480"/>
      </w:pPr>
      <w:bookmarkStart w:id="82" w:name="_Toc39760586"/>
      <w:r>
        <w:rPr>
          <w:rFonts w:hint="eastAsia"/>
        </w:rPr>
        <w:t>①旅客吞吐量增幅（4分）</w:t>
      </w:r>
      <w:bookmarkEnd w:id="82"/>
    </w:p>
    <w:p w14:paraId="221D322D">
      <w:pPr>
        <w:pStyle w:val="35"/>
        <w:spacing w:before="156" w:after="156"/>
        <w:ind w:firstLine="480"/>
      </w:pPr>
      <w:bookmarkStart w:id="83" w:name="_Toc39155003"/>
      <w:bookmarkStart w:id="84" w:name="_Toc39760587"/>
      <w:bookmarkStart w:id="85" w:name="_Toc39654329"/>
      <w:r>
        <w:rPr>
          <w:rFonts w:hint="eastAsia"/>
        </w:rPr>
        <w:t>根据中国民用航空局官方网站公布的“2019年民航机场生产统计公报”显示，武汉天河机场2019年度旅客吞吐量为</w:t>
      </w:r>
      <w:r>
        <w:t>27,150,246人次，</w:t>
      </w:r>
      <w:r>
        <w:rPr>
          <w:rFonts w:hint="eastAsia"/>
        </w:rPr>
        <w:t>上年同期旅客吞吐量为</w:t>
      </w:r>
      <w:r>
        <w:t>24,500,356人次，同比增加</w:t>
      </w:r>
      <w:r>
        <w:rPr>
          <w:rFonts w:hint="eastAsia"/>
        </w:rPr>
        <w:t>2,649,890人次，同比增幅为10.82%。</w:t>
      </w:r>
      <w:bookmarkEnd w:id="83"/>
      <w:bookmarkEnd w:id="84"/>
      <w:bookmarkEnd w:id="85"/>
    </w:p>
    <w:p w14:paraId="1B7A3A6F">
      <w:pPr>
        <w:pStyle w:val="35"/>
        <w:spacing w:before="156" w:after="156"/>
        <w:ind w:firstLine="480"/>
      </w:pPr>
      <w:bookmarkStart w:id="86" w:name="_Toc39760588"/>
      <w:bookmarkStart w:id="87" w:name="_Toc39654330"/>
      <w:bookmarkStart w:id="88" w:name="_Toc39155004"/>
      <w:r>
        <w:rPr>
          <w:rFonts w:hint="eastAsia"/>
        </w:rPr>
        <w:t>目标值为10%，实际完成10.82%，指标达到目标值。</w:t>
      </w:r>
      <w:bookmarkEnd w:id="86"/>
    </w:p>
    <w:p w14:paraId="3072F94D">
      <w:pPr>
        <w:pStyle w:val="35"/>
        <w:spacing w:before="156" w:after="156"/>
        <w:ind w:firstLine="480"/>
      </w:pPr>
      <w:bookmarkStart w:id="89" w:name="_Toc39760589"/>
      <w:r>
        <w:rPr>
          <w:rFonts w:hint="eastAsia"/>
        </w:rPr>
        <w:t>根据评分标准，该指标评价得分为4分。</w:t>
      </w:r>
      <w:bookmarkEnd w:id="87"/>
      <w:bookmarkEnd w:id="88"/>
      <w:bookmarkEnd w:id="89"/>
    </w:p>
    <w:p w14:paraId="21ED545B">
      <w:pPr>
        <w:pStyle w:val="35"/>
        <w:spacing w:before="156" w:after="156"/>
        <w:ind w:firstLine="480"/>
      </w:pPr>
      <w:bookmarkStart w:id="90" w:name="_Toc39760590"/>
      <w:r>
        <w:rPr>
          <w:rFonts w:hint="eastAsia"/>
        </w:rPr>
        <w:t>②货邮吞吐量增幅（2分）</w:t>
      </w:r>
      <w:bookmarkEnd w:id="90"/>
    </w:p>
    <w:p w14:paraId="311DD090">
      <w:pPr>
        <w:pStyle w:val="35"/>
        <w:spacing w:before="156" w:after="156"/>
        <w:ind w:firstLine="480"/>
      </w:pPr>
      <w:bookmarkStart w:id="91" w:name="_Toc39155009"/>
      <w:bookmarkStart w:id="92" w:name="_Toc39654335"/>
      <w:bookmarkStart w:id="93" w:name="_Toc39760591"/>
      <w:r>
        <w:rPr>
          <w:rFonts w:hint="eastAsia"/>
        </w:rPr>
        <w:t>根据中国民用航空局官方网站公布的“2019年民航机场生产统计公报”显示，武汉天河机场2019年度货邮吞吐量为</w:t>
      </w:r>
      <w:r>
        <w:t>243,193.4吨，上年同期货邮吞吐量为221,576.3吨，同比增加</w:t>
      </w:r>
      <w:r>
        <w:rPr>
          <w:rFonts w:hint="eastAsia"/>
        </w:rPr>
        <w:t>21,617.1吨，同比增幅</w:t>
      </w:r>
      <w:r>
        <w:t>9.76%。</w:t>
      </w:r>
      <w:bookmarkEnd w:id="91"/>
      <w:bookmarkEnd w:id="92"/>
      <w:bookmarkEnd w:id="93"/>
    </w:p>
    <w:p w14:paraId="1200FDE5">
      <w:pPr>
        <w:pStyle w:val="35"/>
        <w:spacing w:before="156" w:after="156"/>
        <w:ind w:firstLine="480"/>
      </w:pPr>
      <w:bookmarkStart w:id="94" w:name="_Toc39760592"/>
      <w:r>
        <w:rPr>
          <w:rFonts w:hint="eastAsia"/>
        </w:rPr>
        <w:t>目标值为10%，实际完成</w:t>
      </w:r>
      <w:r>
        <w:t>9.76%，指标未达到目标值。</w:t>
      </w:r>
      <w:bookmarkEnd w:id="94"/>
    </w:p>
    <w:p w14:paraId="2C603C68">
      <w:pPr>
        <w:pStyle w:val="35"/>
        <w:spacing w:before="156" w:after="156"/>
        <w:ind w:firstLine="480"/>
      </w:pPr>
      <w:bookmarkStart w:id="95" w:name="_Toc39155010"/>
      <w:bookmarkStart w:id="96" w:name="_Toc39654336"/>
      <w:bookmarkStart w:id="97" w:name="_Toc39760593"/>
      <w:r>
        <w:rPr>
          <w:rFonts w:hint="eastAsia"/>
        </w:rPr>
        <w:t>根据评分标准，</w:t>
      </w:r>
      <w:bookmarkEnd w:id="95"/>
      <w:bookmarkEnd w:id="96"/>
      <w:r>
        <w:rPr>
          <w:rFonts w:hint="eastAsia"/>
        </w:rPr>
        <w:t>该指标评价得分为1.95分（</w:t>
      </w:r>
      <w:r>
        <w:t>9.76%</w:t>
      </w:r>
      <w:r>
        <w:rPr>
          <w:rFonts w:hint="eastAsia"/>
        </w:rPr>
        <w:t>÷10%×2分）。</w:t>
      </w:r>
      <w:bookmarkEnd w:id="97"/>
    </w:p>
    <w:p w14:paraId="67F595E2">
      <w:pPr>
        <w:pStyle w:val="35"/>
        <w:spacing w:before="156" w:after="156"/>
        <w:ind w:firstLine="480"/>
      </w:pPr>
      <w:bookmarkStart w:id="98" w:name="_Toc39760594"/>
      <w:r>
        <w:rPr>
          <w:rFonts w:hint="eastAsia"/>
        </w:rPr>
        <w:t>③国际地区旅客吞吐量（4分）</w:t>
      </w:r>
      <w:bookmarkEnd w:id="98"/>
    </w:p>
    <w:p w14:paraId="0AC29DBF">
      <w:pPr>
        <w:pStyle w:val="35"/>
        <w:spacing w:before="156" w:after="156"/>
        <w:ind w:firstLine="480"/>
      </w:pPr>
      <w:bookmarkStart w:id="99" w:name="_Toc39155015"/>
      <w:bookmarkStart w:id="100" w:name="_Toc39654341"/>
      <w:bookmarkStart w:id="101" w:name="_Toc39760595"/>
      <w:r>
        <w:rPr>
          <w:rFonts w:hint="eastAsia"/>
        </w:rPr>
        <w:t>根据民航综合统计平台查询“机场运输业务量统计表”显示，2019年度国际地区旅客吞吐量为</w:t>
      </w:r>
      <w:r>
        <w:t>3</w:t>
      </w:r>
      <w:r>
        <w:rPr>
          <w:rFonts w:hint="eastAsia"/>
        </w:rPr>
        <w:t>,</w:t>
      </w:r>
      <w:r>
        <w:t>106</w:t>
      </w:r>
      <w:r>
        <w:rPr>
          <w:rFonts w:hint="eastAsia"/>
        </w:rPr>
        <w:t>,</w:t>
      </w:r>
      <w:r>
        <w:t>020人，</w:t>
      </w:r>
      <w:r>
        <w:rPr>
          <w:rFonts w:hint="eastAsia"/>
        </w:rPr>
        <w:t>2018年度国际地区旅客吞吐量为</w:t>
      </w:r>
      <w:r>
        <w:t>2</w:t>
      </w:r>
      <w:r>
        <w:rPr>
          <w:rFonts w:hint="eastAsia"/>
        </w:rPr>
        <w:t>,</w:t>
      </w:r>
      <w:r>
        <w:t>700</w:t>
      </w:r>
      <w:r>
        <w:rPr>
          <w:rFonts w:hint="eastAsia"/>
        </w:rPr>
        <w:t>,</w:t>
      </w:r>
      <w:r>
        <w:t>204人，同比增加</w:t>
      </w:r>
      <w:r>
        <w:rPr>
          <w:rFonts w:hint="eastAsia"/>
        </w:rPr>
        <w:t>405,816人，同比增幅</w:t>
      </w:r>
      <w:r>
        <w:t>15.03%。</w:t>
      </w:r>
      <w:bookmarkEnd w:id="99"/>
      <w:bookmarkEnd w:id="100"/>
      <w:bookmarkEnd w:id="101"/>
    </w:p>
    <w:p w14:paraId="43513EFD">
      <w:pPr>
        <w:pStyle w:val="35"/>
        <w:spacing w:before="156" w:after="156"/>
        <w:ind w:firstLine="480"/>
      </w:pPr>
      <w:bookmarkStart w:id="102" w:name="_Toc39760596"/>
      <w:r>
        <w:rPr>
          <w:rFonts w:hint="eastAsia"/>
        </w:rPr>
        <w:t>目标值为10%，实际完成</w:t>
      </w:r>
      <w:r>
        <w:t>15.03%，指标达到目标值。</w:t>
      </w:r>
      <w:bookmarkEnd w:id="102"/>
    </w:p>
    <w:p w14:paraId="28998722">
      <w:pPr>
        <w:pStyle w:val="35"/>
        <w:spacing w:before="156" w:after="156"/>
        <w:ind w:firstLine="480"/>
      </w:pPr>
      <w:bookmarkStart w:id="103" w:name="_Toc39155016"/>
      <w:bookmarkStart w:id="104" w:name="_Toc39654342"/>
      <w:bookmarkStart w:id="105" w:name="_Toc39760597"/>
      <w:r>
        <w:rPr>
          <w:rFonts w:hint="eastAsia"/>
        </w:rPr>
        <w:t>根据评分标准，</w:t>
      </w:r>
      <w:bookmarkEnd w:id="103"/>
      <w:bookmarkEnd w:id="104"/>
      <w:r>
        <w:rPr>
          <w:rFonts w:hint="eastAsia"/>
        </w:rPr>
        <w:t>该指标评价得分为4分。</w:t>
      </w:r>
      <w:bookmarkEnd w:id="105"/>
    </w:p>
    <w:p w14:paraId="3F072EB3">
      <w:pPr>
        <w:pStyle w:val="35"/>
        <w:spacing w:before="156" w:after="156"/>
        <w:ind w:firstLine="480"/>
      </w:pPr>
      <w:bookmarkStart w:id="106" w:name="_Toc39155017"/>
      <w:bookmarkStart w:id="107" w:name="_Toc39654343"/>
      <w:bookmarkStart w:id="108" w:name="_Toc39760598"/>
      <w:r>
        <w:rPr>
          <w:rFonts w:hint="eastAsia"/>
        </w:rPr>
        <w:t>④国际地区货邮吞吐量（2分）</w:t>
      </w:r>
      <w:bookmarkEnd w:id="106"/>
      <w:bookmarkEnd w:id="107"/>
      <w:bookmarkEnd w:id="108"/>
    </w:p>
    <w:p w14:paraId="2F705F02">
      <w:pPr>
        <w:pStyle w:val="35"/>
        <w:spacing w:before="156" w:after="156"/>
        <w:ind w:firstLine="480"/>
      </w:pPr>
      <w:bookmarkStart w:id="109" w:name="_Toc39155018"/>
      <w:bookmarkStart w:id="110" w:name="_Toc39654344"/>
      <w:bookmarkStart w:id="111" w:name="_Toc39760599"/>
      <w:r>
        <w:rPr>
          <w:rFonts w:hint="eastAsia"/>
        </w:rPr>
        <w:t>根据民航综合统计平台查询“机场运输业务量统计表”显示，2019年度国际地区货邮吞吐量为</w:t>
      </w:r>
      <w:r>
        <w:t>62</w:t>
      </w:r>
      <w:r>
        <w:rPr>
          <w:rFonts w:hint="eastAsia"/>
        </w:rPr>
        <w:t>,</w:t>
      </w:r>
      <w:r>
        <w:t>319.</w:t>
      </w:r>
      <w:r>
        <w:rPr>
          <w:rFonts w:hint="eastAsia"/>
        </w:rPr>
        <w:t>4</w:t>
      </w:r>
      <w:r>
        <w:t>吨，</w:t>
      </w:r>
      <w:r>
        <w:rPr>
          <w:rFonts w:hint="eastAsia"/>
        </w:rPr>
        <w:t>2018年度国际地区货邮吞吐量为</w:t>
      </w:r>
      <w:r>
        <w:t>53</w:t>
      </w:r>
      <w:r>
        <w:rPr>
          <w:rFonts w:hint="eastAsia"/>
        </w:rPr>
        <w:t>,</w:t>
      </w:r>
      <w:r>
        <w:t>018.</w:t>
      </w:r>
      <w:r>
        <w:rPr>
          <w:rFonts w:hint="eastAsia"/>
        </w:rPr>
        <w:t>5吨</w:t>
      </w:r>
      <w:r>
        <w:t>，同比增加</w:t>
      </w:r>
      <w:r>
        <w:rPr>
          <w:rFonts w:hint="eastAsia"/>
        </w:rPr>
        <w:t>9,300.9吨，同比增幅</w:t>
      </w:r>
      <w:r>
        <w:t>17.54%。</w:t>
      </w:r>
      <w:bookmarkEnd w:id="109"/>
      <w:bookmarkEnd w:id="110"/>
      <w:bookmarkEnd w:id="111"/>
    </w:p>
    <w:p w14:paraId="2E4367DC">
      <w:pPr>
        <w:pStyle w:val="35"/>
        <w:spacing w:before="156" w:after="156"/>
        <w:ind w:firstLine="480"/>
      </w:pPr>
      <w:bookmarkStart w:id="112" w:name="_Toc39760600"/>
      <w:r>
        <w:rPr>
          <w:rFonts w:hint="eastAsia"/>
        </w:rPr>
        <w:t>目标值为20%，实际完成</w:t>
      </w:r>
      <w:r>
        <w:t>17.54%，指标未达到目标值。</w:t>
      </w:r>
      <w:bookmarkEnd w:id="112"/>
    </w:p>
    <w:p w14:paraId="1B4EA1C0">
      <w:pPr>
        <w:pStyle w:val="35"/>
        <w:spacing w:before="156" w:after="156"/>
        <w:ind w:firstLine="480"/>
      </w:pPr>
      <w:bookmarkStart w:id="113" w:name="_Toc39155019"/>
      <w:bookmarkStart w:id="114" w:name="_Toc39654345"/>
      <w:bookmarkStart w:id="115" w:name="_Toc39760601"/>
      <w:r>
        <w:rPr>
          <w:rFonts w:hint="eastAsia"/>
        </w:rPr>
        <w:t>根据评分标准，</w:t>
      </w:r>
      <w:bookmarkEnd w:id="113"/>
      <w:bookmarkEnd w:id="114"/>
      <w:r>
        <w:rPr>
          <w:rFonts w:hint="eastAsia"/>
        </w:rPr>
        <w:t>该指标评价得分为1.75分（</w:t>
      </w:r>
      <w:r>
        <w:t>17.54%</w:t>
      </w:r>
      <w:r>
        <w:rPr>
          <w:rFonts w:hint="eastAsia"/>
        </w:rPr>
        <w:t>÷20%×2分）。</w:t>
      </w:r>
      <w:bookmarkEnd w:id="115"/>
    </w:p>
    <w:p w14:paraId="6B0BF512">
      <w:pPr>
        <w:pStyle w:val="35"/>
        <w:spacing w:before="156" w:after="156"/>
        <w:ind w:firstLine="480"/>
      </w:pPr>
      <w:bookmarkStart w:id="116" w:name="_Toc39760602"/>
      <w:r>
        <w:rPr>
          <w:rFonts w:hint="eastAsia"/>
        </w:rPr>
        <w:t>（2）航线指标（15分）</w:t>
      </w:r>
      <w:bookmarkEnd w:id="116"/>
    </w:p>
    <w:p w14:paraId="288A019C">
      <w:pPr>
        <w:pStyle w:val="35"/>
        <w:spacing w:before="156" w:after="156"/>
        <w:ind w:firstLine="480"/>
      </w:pPr>
      <w:bookmarkStart w:id="117" w:name="_Toc39155022"/>
      <w:bookmarkStart w:id="118" w:name="_Toc39654348"/>
      <w:bookmarkStart w:id="119" w:name="_Toc39760603"/>
      <w:r>
        <w:rPr>
          <w:rFonts w:hint="eastAsia"/>
        </w:rPr>
        <w:t>①重点国际航线（5分）</w:t>
      </w:r>
      <w:bookmarkEnd w:id="117"/>
      <w:bookmarkEnd w:id="118"/>
      <w:bookmarkEnd w:id="119"/>
    </w:p>
    <w:p w14:paraId="24650AF1">
      <w:pPr>
        <w:pStyle w:val="35"/>
        <w:spacing w:before="156" w:after="156"/>
        <w:ind w:firstLine="480"/>
      </w:pPr>
      <w:bookmarkStart w:id="120" w:name="_Toc39155023"/>
      <w:bookmarkStart w:id="121" w:name="_Toc39654349"/>
      <w:bookmarkStart w:id="122" w:name="_Toc39760604"/>
      <w:r>
        <w:rPr>
          <w:rFonts w:hint="eastAsia"/>
        </w:rPr>
        <w:t>根据机场公司提供“武汉民航2018年统计数据”、“武汉民航2019年统计数据”，并通过查询民航综合统计平台2018年度、2019年度航班运行记录，核查确定</w:t>
      </w:r>
      <w:r>
        <w:t>2019</w:t>
      </w:r>
      <w:r>
        <w:rPr>
          <w:rFonts w:hint="eastAsia"/>
        </w:rPr>
        <w:t>年度重点国际航线新开纽约、伊斯坦布尔客运航线。</w:t>
      </w:r>
      <w:bookmarkEnd w:id="120"/>
      <w:bookmarkEnd w:id="121"/>
      <w:bookmarkEnd w:id="122"/>
    </w:p>
    <w:p w14:paraId="5C3F755C">
      <w:pPr>
        <w:pStyle w:val="35"/>
        <w:spacing w:before="156" w:after="156"/>
        <w:ind w:firstLine="480"/>
      </w:pPr>
      <w:bookmarkStart w:id="123" w:name="_Toc39760605"/>
      <w:bookmarkStart w:id="124" w:name="_Toc39155024"/>
      <w:bookmarkStart w:id="125" w:name="_Toc39654350"/>
      <w:r>
        <w:rPr>
          <w:rFonts w:hint="eastAsia"/>
        </w:rPr>
        <w:t>目标值为稳定上年重点国际航点，增加2个定期直达航点；实际稳定上年重点国际航点，增加2个定期直达航点。</w:t>
      </w:r>
      <w:bookmarkEnd w:id="123"/>
    </w:p>
    <w:p w14:paraId="03C6F700">
      <w:pPr>
        <w:pStyle w:val="35"/>
        <w:spacing w:before="156" w:after="156"/>
        <w:ind w:firstLine="480"/>
      </w:pPr>
      <w:bookmarkStart w:id="126" w:name="_Toc39760606"/>
      <w:r>
        <w:rPr>
          <w:rFonts w:hint="eastAsia"/>
        </w:rPr>
        <w:t>根据评分标准，该指标评价得分为5分。</w:t>
      </w:r>
      <w:bookmarkEnd w:id="124"/>
      <w:bookmarkEnd w:id="125"/>
      <w:bookmarkEnd w:id="126"/>
    </w:p>
    <w:p w14:paraId="06223160">
      <w:pPr>
        <w:pStyle w:val="35"/>
        <w:spacing w:before="156" w:after="156"/>
        <w:ind w:firstLine="480"/>
      </w:pPr>
      <w:bookmarkStart w:id="127" w:name="_Toc39155025"/>
      <w:bookmarkStart w:id="128" w:name="_Toc39654351"/>
      <w:bookmarkStart w:id="129" w:name="_Toc39760607"/>
      <w:r>
        <w:rPr>
          <w:rFonts w:hint="eastAsia"/>
        </w:rPr>
        <w:t>②其他国际地区航线（5分）</w:t>
      </w:r>
      <w:bookmarkEnd w:id="127"/>
      <w:bookmarkEnd w:id="128"/>
      <w:bookmarkEnd w:id="129"/>
    </w:p>
    <w:p w14:paraId="6317B3DC">
      <w:pPr>
        <w:pStyle w:val="35"/>
        <w:spacing w:before="156" w:after="156"/>
        <w:ind w:firstLine="480"/>
      </w:pPr>
      <w:bookmarkStart w:id="130" w:name="_Toc39155026"/>
      <w:bookmarkStart w:id="131" w:name="_Toc39654352"/>
      <w:bookmarkStart w:id="132" w:name="_Toc39760608"/>
      <w:r>
        <w:rPr>
          <w:rFonts w:hint="eastAsia"/>
        </w:rPr>
        <w:t>根据机场公司提供“武汉民航2018年统计数据”、“武汉民航2019年统计数据”，并通过查询民航综合统计平台2018年度、2019年度航班运行记录，核查确定</w:t>
      </w:r>
      <w:r>
        <w:t>2019</w:t>
      </w:r>
      <w:r>
        <w:rPr>
          <w:rFonts w:hint="eastAsia"/>
        </w:rPr>
        <w:t>年度其他国际地区航线停飞济州岛、槟城、大叻客运航线，新开曼德勒、仰光、卡里波、美娜多客运航线，新开大阪货运航线。</w:t>
      </w:r>
      <w:bookmarkEnd w:id="130"/>
      <w:bookmarkEnd w:id="131"/>
      <w:bookmarkEnd w:id="132"/>
    </w:p>
    <w:p w14:paraId="338290E6">
      <w:pPr>
        <w:pStyle w:val="35"/>
        <w:spacing w:before="156" w:after="156"/>
        <w:ind w:firstLine="480"/>
      </w:pPr>
      <w:bookmarkStart w:id="133" w:name="_Toc39760609"/>
      <w:bookmarkStart w:id="134" w:name="_Toc39155027"/>
      <w:bookmarkStart w:id="135" w:name="_Toc39654353"/>
      <w:r>
        <w:rPr>
          <w:rFonts w:hint="eastAsia"/>
        </w:rPr>
        <w:t>目标值为稳定上年其他国际地区航点，增加2个定期直达航点；实际减少3个航点，增加5个定期直达航点。</w:t>
      </w:r>
      <w:bookmarkEnd w:id="133"/>
    </w:p>
    <w:p w14:paraId="5C59B806">
      <w:pPr>
        <w:pStyle w:val="35"/>
        <w:spacing w:before="156" w:after="156"/>
        <w:ind w:firstLine="480"/>
      </w:pPr>
      <w:bookmarkStart w:id="136" w:name="_Toc39760610"/>
      <w:r>
        <w:rPr>
          <w:rFonts w:hint="eastAsia"/>
        </w:rPr>
        <w:t>根据评分标准，</w:t>
      </w:r>
      <w:bookmarkEnd w:id="134"/>
      <w:bookmarkEnd w:id="135"/>
      <w:r>
        <w:rPr>
          <w:rFonts w:hint="eastAsia"/>
        </w:rPr>
        <w:t>该指标评价得分为5分。</w:t>
      </w:r>
      <w:bookmarkEnd w:id="136"/>
    </w:p>
    <w:p w14:paraId="758B3422">
      <w:pPr>
        <w:pStyle w:val="35"/>
        <w:spacing w:before="156" w:after="156"/>
        <w:ind w:firstLine="480"/>
      </w:pPr>
      <w:bookmarkStart w:id="137" w:name="_Toc39155028"/>
      <w:bookmarkStart w:id="138" w:name="_Toc39654354"/>
      <w:bookmarkStart w:id="139" w:name="_Toc39760611"/>
      <w:r>
        <w:rPr>
          <w:rFonts w:hint="eastAsia"/>
        </w:rPr>
        <w:t>③国内航线（5分）</w:t>
      </w:r>
      <w:bookmarkEnd w:id="137"/>
      <w:bookmarkEnd w:id="138"/>
      <w:bookmarkEnd w:id="139"/>
    </w:p>
    <w:p w14:paraId="7B2A6AE0">
      <w:pPr>
        <w:pStyle w:val="35"/>
        <w:spacing w:before="156" w:after="156"/>
        <w:ind w:firstLine="480"/>
      </w:pPr>
      <w:bookmarkStart w:id="140" w:name="_Toc39155029"/>
      <w:bookmarkStart w:id="141" w:name="_Toc39654355"/>
      <w:bookmarkStart w:id="142" w:name="_Toc39760612"/>
      <w:r>
        <w:rPr>
          <w:rFonts w:hint="eastAsia"/>
        </w:rPr>
        <w:t>根据机场公司提供“武汉民航2018年统计数据”、“武汉民航2019年统计数据”，并通过查询民航综合统计平台2018年度、2019年度航班运行记录，核查确定</w:t>
      </w:r>
      <w:r>
        <w:t>2019</w:t>
      </w:r>
      <w:r>
        <w:rPr>
          <w:rFonts w:hint="eastAsia"/>
        </w:rPr>
        <w:t>年度国内航线停飞汉中、唐山客运航线，新开腾冲、淮安、库尔勒、榆林、鄂尔多斯、乌兰浩特、临沂、赣州、延安、泸州客运航线。</w:t>
      </w:r>
      <w:bookmarkEnd w:id="140"/>
      <w:bookmarkEnd w:id="141"/>
      <w:bookmarkEnd w:id="142"/>
    </w:p>
    <w:p w14:paraId="2E277558">
      <w:pPr>
        <w:pStyle w:val="35"/>
        <w:spacing w:before="156" w:after="156"/>
        <w:ind w:firstLine="480"/>
      </w:pPr>
      <w:bookmarkStart w:id="143" w:name="_Toc39760613"/>
      <w:bookmarkStart w:id="144" w:name="_Toc39155030"/>
      <w:bookmarkStart w:id="145" w:name="_Toc39654356"/>
      <w:r>
        <w:rPr>
          <w:rFonts w:hint="eastAsia"/>
        </w:rPr>
        <w:t>目标值为稳定上年国内航点，增加5个定期直达航点；实际减少2个航点，增加10个定期直达航点。</w:t>
      </w:r>
      <w:bookmarkEnd w:id="143"/>
    </w:p>
    <w:p w14:paraId="7608036F">
      <w:pPr>
        <w:pStyle w:val="35"/>
        <w:spacing w:before="156" w:after="156"/>
        <w:ind w:firstLine="480"/>
      </w:pPr>
      <w:bookmarkStart w:id="146" w:name="_Toc39760614"/>
      <w:r>
        <w:rPr>
          <w:rFonts w:hint="eastAsia"/>
        </w:rPr>
        <w:t>根据评分标准，</w:t>
      </w:r>
      <w:bookmarkEnd w:id="144"/>
      <w:bookmarkEnd w:id="145"/>
      <w:r>
        <w:rPr>
          <w:rFonts w:hint="eastAsia"/>
        </w:rPr>
        <w:t>该指标评价得分为5分。</w:t>
      </w:r>
      <w:bookmarkEnd w:id="146"/>
    </w:p>
    <w:p w14:paraId="176628D9">
      <w:pPr>
        <w:pStyle w:val="35"/>
        <w:spacing w:before="156" w:after="156"/>
        <w:ind w:firstLine="480"/>
      </w:pPr>
      <w:bookmarkStart w:id="147" w:name="_Toc39760615"/>
      <w:r>
        <w:t>（3）</w:t>
      </w:r>
      <w:r>
        <w:rPr>
          <w:rFonts w:hint="eastAsia"/>
        </w:rPr>
        <w:t>中转指标（7分）</w:t>
      </w:r>
      <w:bookmarkEnd w:id="147"/>
    </w:p>
    <w:p w14:paraId="5576D556">
      <w:pPr>
        <w:pStyle w:val="35"/>
        <w:spacing w:before="156" w:after="156"/>
        <w:ind w:firstLine="480"/>
      </w:pPr>
      <w:bookmarkStart w:id="148" w:name="_Toc39155033"/>
      <w:bookmarkStart w:id="149" w:name="_Toc39654359"/>
      <w:bookmarkStart w:id="150" w:name="_Toc39760616"/>
      <w:bookmarkStart w:id="151" w:name="_Toc513580586"/>
      <w:r>
        <w:rPr>
          <w:rFonts w:hint="eastAsia"/>
        </w:rPr>
        <w:t>①客运中转（2分）</w:t>
      </w:r>
      <w:bookmarkEnd w:id="148"/>
      <w:bookmarkEnd w:id="149"/>
      <w:bookmarkEnd w:id="150"/>
    </w:p>
    <w:p w14:paraId="2CB98FEC">
      <w:pPr>
        <w:pStyle w:val="35"/>
        <w:spacing w:before="156" w:after="156"/>
        <w:ind w:firstLine="480"/>
      </w:pPr>
      <w:r>
        <w:rPr>
          <w:rFonts w:hint="eastAsia"/>
        </w:rPr>
        <w:t>首先，根据机场公司中转服务平台核查确定国内中转旅客人数；其次，因机场公司中转服务平台的系统缺陷导致国际中转数据不太准确，故而机场公司将国际中转数据中前后段航司为“CZ”（南航代码）的数据剔除，替换加入南航提供航班基础数据，我们通过了解规则、重新计算等程序，核实了国际中转旅客人数（最佳估计值）；根据南航提供航班基础数据，重点核查确定南航空铁通中转旅客人数；最终，汇总国内中转旅客人数（空空）、国际中转旅客人数（空空）、南航空铁通中转旅客人数（空地）、东航空铁通中转旅客人数（空地），确定2019年度客运中转人数为1,055,363.50人，2018年度客运中转人数为872,542.00人，同比增加182,821.50人，同比增幅20.95%。</w:t>
      </w:r>
    </w:p>
    <w:p w14:paraId="2A694EA1">
      <w:pPr>
        <w:pStyle w:val="35"/>
        <w:spacing w:before="156" w:after="156"/>
        <w:ind w:firstLine="480"/>
      </w:pPr>
      <w:bookmarkStart w:id="152" w:name="_Toc39760618"/>
      <w:bookmarkStart w:id="153" w:name="_Toc39155035"/>
      <w:bookmarkStart w:id="154" w:name="_Toc39654361"/>
      <w:r>
        <w:rPr>
          <w:rFonts w:hint="eastAsia"/>
        </w:rPr>
        <w:t>目标值为25%，实际完成</w:t>
      </w:r>
      <w:r>
        <w:t>20.</w:t>
      </w:r>
      <w:r>
        <w:rPr>
          <w:rFonts w:hint="eastAsia"/>
        </w:rPr>
        <w:t>95</w:t>
      </w:r>
      <w:r>
        <w:t>%，</w:t>
      </w:r>
      <w:r>
        <w:rPr>
          <w:rFonts w:hint="eastAsia"/>
        </w:rPr>
        <w:t>指标未达到目标值。</w:t>
      </w:r>
      <w:bookmarkEnd w:id="152"/>
    </w:p>
    <w:p w14:paraId="1A981F45">
      <w:pPr>
        <w:pStyle w:val="35"/>
        <w:spacing w:before="156" w:after="156"/>
        <w:ind w:firstLine="480"/>
      </w:pPr>
      <w:bookmarkStart w:id="155" w:name="_Toc39760619"/>
      <w:r>
        <w:rPr>
          <w:rFonts w:hint="eastAsia"/>
        </w:rPr>
        <w:t>根据评分标准，</w:t>
      </w:r>
      <w:bookmarkEnd w:id="153"/>
      <w:bookmarkEnd w:id="154"/>
      <w:r>
        <w:rPr>
          <w:rFonts w:hint="eastAsia"/>
        </w:rPr>
        <w:t>该指标评价得分为1.68分（</w:t>
      </w:r>
      <w:r>
        <w:t>20.</w:t>
      </w:r>
      <w:r>
        <w:rPr>
          <w:rFonts w:hint="eastAsia"/>
        </w:rPr>
        <w:t>95</w:t>
      </w:r>
      <w:r>
        <w:t>%</w:t>
      </w:r>
      <w:r>
        <w:rPr>
          <w:rFonts w:hint="eastAsia"/>
        </w:rPr>
        <w:t>÷25%×2分）。</w:t>
      </w:r>
      <w:bookmarkEnd w:id="155"/>
    </w:p>
    <w:p w14:paraId="589E0B85">
      <w:pPr>
        <w:pStyle w:val="35"/>
        <w:spacing w:before="156" w:after="156"/>
        <w:ind w:firstLine="480"/>
      </w:pPr>
      <w:bookmarkStart w:id="156" w:name="_Toc39155036"/>
      <w:bookmarkStart w:id="157" w:name="_Toc39654362"/>
      <w:bookmarkStart w:id="158" w:name="_Toc39760620"/>
      <w:r>
        <w:rPr>
          <w:rFonts w:hint="eastAsia"/>
        </w:rPr>
        <w:t>②货邮中转（2分）</w:t>
      </w:r>
      <w:bookmarkEnd w:id="156"/>
      <w:bookmarkEnd w:id="157"/>
      <w:bookmarkEnd w:id="158"/>
    </w:p>
    <w:p w14:paraId="15BFF589">
      <w:pPr>
        <w:pStyle w:val="35"/>
        <w:spacing w:before="156" w:after="156"/>
        <w:ind w:firstLine="480"/>
      </w:pPr>
      <w:r>
        <w:rPr>
          <w:rFonts w:hint="eastAsia"/>
        </w:rPr>
        <w:t>根据湖北机场集团航空物流有限公司提供的“中转货量统计表”，我们取得了《爱派克斯货运中转审核报告（18年12月-19年11月）》、《友和道通货运中转审核报告（19年1月-19年6月）》、爱派克斯货运进出口卡补明细表、南航货运统计表，并抽样核实了爱派克斯货运涉及的相关报关单或转关单，以及南航货运的中转货运量基础数据。2019年度货邮中转量为25,215吨，2018年度货邮中转量为23,426吨，同比增加1,789吨，同比增幅7.64%。</w:t>
      </w:r>
    </w:p>
    <w:p w14:paraId="0E3248EE">
      <w:pPr>
        <w:pStyle w:val="35"/>
        <w:spacing w:before="156" w:after="156"/>
        <w:ind w:firstLine="480"/>
      </w:pPr>
      <w:bookmarkStart w:id="159" w:name="_Toc39760622"/>
      <w:bookmarkStart w:id="160" w:name="_Toc39155038"/>
      <w:bookmarkStart w:id="161" w:name="_Toc39654364"/>
      <w:r>
        <w:rPr>
          <w:rFonts w:hint="eastAsia"/>
        </w:rPr>
        <w:t>目标值为10%，实际完成7</w:t>
      </w:r>
      <w:r>
        <w:t>.</w:t>
      </w:r>
      <w:r>
        <w:rPr>
          <w:rFonts w:hint="eastAsia"/>
        </w:rPr>
        <w:t>64</w:t>
      </w:r>
      <w:r>
        <w:t>%，</w:t>
      </w:r>
      <w:r>
        <w:rPr>
          <w:rFonts w:hint="eastAsia"/>
        </w:rPr>
        <w:t>指标未达到目标值。</w:t>
      </w:r>
      <w:bookmarkEnd w:id="159"/>
    </w:p>
    <w:p w14:paraId="3CCDCE5C">
      <w:pPr>
        <w:pStyle w:val="35"/>
        <w:spacing w:before="156" w:after="156"/>
        <w:ind w:firstLine="480"/>
      </w:pPr>
      <w:bookmarkStart w:id="162" w:name="_Toc39760623"/>
      <w:r>
        <w:rPr>
          <w:rFonts w:hint="eastAsia"/>
        </w:rPr>
        <w:t>根据评分标准，</w:t>
      </w:r>
      <w:bookmarkEnd w:id="160"/>
      <w:bookmarkEnd w:id="161"/>
      <w:r>
        <w:rPr>
          <w:rFonts w:hint="eastAsia"/>
        </w:rPr>
        <w:t>该指标评价得分为1.53分（7</w:t>
      </w:r>
      <w:r>
        <w:t>.</w:t>
      </w:r>
      <w:r>
        <w:rPr>
          <w:rFonts w:hint="eastAsia"/>
        </w:rPr>
        <w:t>64</w:t>
      </w:r>
      <w:r>
        <w:t>%</w:t>
      </w:r>
      <w:r>
        <w:rPr>
          <w:rFonts w:hint="eastAsia"/>
        </w:rPr>
        <w:t>÷10%×2分）。</w:t>
      </w:r>
      <w:bookmarkEnd w:id="162"/>
    </w:p>
    <w:p w14:paraId="76E05FEA">
      <w:pPr>
        <w:pStyle w:val="35"/>
        <w:spacing w:before="156" w:after="156"/>
        <w:ind w:firstLine="480"/>
      </w:pPr>
      <w:bookmarkStart w:id="163" w:name="_Toc39155039"/>
      <w:bookmarkStart w:id="164" w:name="_Toc39654365"/>
      <w:bookmarkStart w:id="165" w:name="_Toc39760624"/>
      <w:r>
        <w:rPr>
          <w:rFonts w:hint="eastAsia"/>
        </w:rPr>
        <w:t>③跨航司行李直挂中转（3分）</w:t>
      </w:r>
      <w:bookmarkEnd w:id="163"/>
      <w:bookmarkEnd w:id="164"/>
      <w:bookmarkEnd w:id="165"/>
    </w:p>
    <w:p w14:paraId="2A607A5A">
      <w:pPr>
        <w:pStyle w:val="35"/>
        <w:spacing w:before="156" w:after="156"/>
        <w:ind w:firstLine="480"/>
      </w:pPr>
      <w:bookmarkStart w:id="166" w:name="_Toc39155040"/>
      <w:bookmarkStart w:id="167" w:name="_Toc39654366"/>
      <w:bookmarkStart w:id="168" w:name="_Toc39760625"/>
      <w:r>
        <w:rPr>
          <w:rFonts w:hint="eastAsia"/>
        </w:rPr>
        <w:t>根据机场公司已提供《关于申请武汉天河机场为国内中转旅客跨航司行李直挂服务试点单位的请示》（鄂机场文[2019]62号）及其附件，同时提供民航局发民航明传电报《关于开展国内中转旅客跨航司行李直挂服务试点的通知》（局发明电[2019]1981号）。</w:t>
      </w:r>
      <w:bookmarkEnd w:id="166"/>
      <w:bookmarkEnd w:id="167"/>
      <w:bookmarkEnd w:id="168"/>
    </w:p>
    <w:p w14:paraId="4598145A">
      <w:pPr>
        <w:pStyle w:val="35"/>
        <w:spacing w:before="156" w:after="156"/>
        <w:ind w:firstLine="480"/>
      </w:pPr>
      <w:bookmarkStart w:id="169" w:name="_Toc39760626"/>
      <w:bookmarkStart w:id="170" w:name="_Toc39155041"/>
      <w:bookmarkStart w:id="171" w:name="_Toc39654367"/>
      <w:r>
        <w:rPr>
          <w:rFonts w:hint="eastAsia"/>
        </w:rPr>
        <w:t>目标值为编制报告并报送民航局审批；实际已编制报送相关请示，其中包括：省内干支结合跨航司中转操作实施细则、武汉天河机场试点推进国内中转旅客跨航司行李直挂服务工作方案等，并已获民航局审批取得试点单位资格。</w:t>
      </w:r>
      <w:bookmarkEnd w:id="169"/>
    </w:p>
    <w:p w14:paraId="13E8904C">
      <w:pPr>
        <w:pStyle w:val="35"/>
        <w:spacing w:before="156" w:after="156"/>
        <w:ind w:firstLine="480"/>
      </w:pPr>
      <w:bookmarkStart w:id="172" w:name="_Toc39760627"/>
      <w:r>
        <w:rPr>
          <w:rFonts w:hint="eastAsia"/>
        </w:rPr>
        <w:t>根据评分标准，</w:t>
      </w:r>
      <w:bookmarkEnd w:id="170"/>
      <w:bookmarkEnd w:id="171"/>
      <w:r>
        <w:rPr>
          <w:rFonts w:hint="eastAsia"/>
        </w:rPr>
        <w:t>该指标评价得分为3分。</w:t>
      </w:r>
      <w:bookmarkEnd w:id="172"/>
    </w:p>
    <w:p w14:paraId="41257B76">
      <w:pPr>
        <w:pStyle w:val="35"/>
        <w:spacing w:before="156" w:after="156"/>
        <w:ind w:firstLine="480"/>
      </w:pPr>
      <w:bookmarkStart w:id="173" w:name="_Toc39760628"/>
      <w:r>
        <w:rPr>
          <w:rFonts w:hint="eastAsia"/>
        </w:rPr>
        <w:t>4.效</w:t>
      </w:r>
      <w:bookmarkEnd w:id="151"/>
      <w:r>
        <w:rPr>
          <w:rFonts w:hint="eastAsia"/>
        </w:rPr>
        <w:t>益（30分）</w:t>
      </w:r>
      <w:bookmarkEnd w:id="173"/>
    </w:p>
    <w:p w14:paraId="1FDDC1AA">
      <w:pPr>
        <w:pStyle w:val="35"/>
        <w:spacing w:before="156" w:after="156"/>
        <w:ind w:firstLine="480"/>
      </w:pPr>
      <w:bookmarkStart w:id="174" w:name="_Toc39760629"/>
      <w:bookmarkStart w:id="175" w:name="_Toc513580587"/>
      <w:r>
        <w:rPr>
          <w:rFonts w:hint="eastAsia"/>
        </w:rPr>
        <w:t>效益指标基准分值为30分，评价得分为30分。具体详情如下：</w:t>
      </w:r>
      <w:bookmarkEnd w:id="174"/>
    </w:p>
    <w:tbl>
      <w:tblPr>
        <w:tblStyle w:val="19"/>
        <w:tblW w:w="9340" w:type="dxa"/>
        <w:jc w:val="center"/>
        <w:tblBorders>
          <w:top w:val="double" w:color="auto" w:sz="4" w:space="0"/>
          <w:left w:val="none" w:color="auto" w:sz="0" w:space="0"/>
          <w:bottom w:val="double" w:color="auto" w:sz="4"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60"/>
        <w:gridCol w:w="1060"/>
        <w:gridCol w:w="2480"/>
        <w:gridCol w:w="3680"/>
        <w:gridCol w:w="1060"/>
      </w:tblGrid>
      <w:tr w14:paraId="53C5C4D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blHeader/>
          <w:jc w:val="center"/>
        </w:trPr>
        <w:tc>
          <w:tcPr>
            <w:tcW w:w="1060" w:type="dxa"/>
            <w:shd w:val="clear" w:color="auto" w:fill="auto"/>
            <w:vAlign w:val="center"/>
          </w:tcPr>
          <w:p w14:paraId="368415A5">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一级指标</w:t>
            </w:r>
          </w:p>
        </w:tc>
        <w:tc>
          <w:tcPr>
            <w:tcW w:w="1060" w:type="dxa"/>
            <w:shd w:val="clear" w:color="auto" w:fill="auto"/>
            <w:vAlign w:val="center"/>
          </w:tcPr>
          <w:p w14:paraId="390B05E7">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二级指标</w:t>
            </w:r>
          </w:p>
        </w:tc>
        <w:tc>
          <w:tcPr>
            <w:tcW w:w="2480" w:type="dxa"/>
            <w:shd w:val="clear" w:color="auto" w:fill="auto"/>
            <w:vAlign w:val="center"/>
          </w:tcPr>
          <w:p w14:paraId="3C67A77D">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三级指标</w:t>
            </w:r>
          </w:p>
        </w:tc>
        <w:tc>
          <w:tcPr>
            <w:tcW w:w="3680" w:type="dxa"/>
            <w:shd w:val="clear" w:color="auto" w:fill="auto"/>
            <w:vAlign w:val="center"/>
          </w:tcPr>
          <w:p w14:paraId="7AAD59AA">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评分标准</w:t>
            </w:r>
          </w:p>
        </w:tc>
        <w:tc>
          <w:tcPr>
            <w:tcW w:w="1060" w:type="dxa"/>
            <w:shd w:val="clear" w:color="auto" w:fill="auto"/>
            <w:vAlign w:val="center"/>
          </w:tcPr>
          <w:p w14:paraId="0F93D1C0">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w:t>
            </w:r>
          </w:p>
        </w:tc>
      </w:tr>
      <w:tr w14:paraId="397520A0">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jc w:val="center"/>
        </w:trPr>
        <w:tc>
          <w:tcPr>
            <w:tcW w:w="1060" w:type="dxa"/>
            <w:vMerge w:val="restart"/>
            <w:shd w:val="clear" w:color="auto" w:fill="auto"/>
            <w:vAlign w:val="center"/>
          </w:tcPr>
          <w:p w14:paraId="4E99473F">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效益</w:t>
            </w:r>
            <w:r>
              <w:rPr>
                <w:rFonts w:hint="eastAsia" w:ascii="仿宋" w:hAnsi="仿宋" w:eastAsia="仿宋" w:cs="宋体"/>
                <w:kern w:val="0"/>
                <w:sz w:val="18"/>
                <w:szCs w:val="18"/>
              </w:rPr>
              <w:br w:type="textWrapping"/>
            </w:r>
            <w:r>
              <w:rPr>
                <w:rFonts w:hint="eastAsia" w:ascii="仿宋" w:hAnsi="仿宋" w:eastAsia="仿宋" w:cs="宋体"/>
                <w:color w:val="000000"/>
                <w:kern w:val="0"/>
                <w:sz w:val="18"/>
                <w:szCs w:val="18"/>
              </w:rPr>
              <w:t>（30分）</w:t>
            </w:r>
          </w:p>
        </w:tc>
        <w:tc>
          <w:tcPr>
            <w:tcW w:w="1060" w:type="dxa"/>
            <w:vMerge w:val="restart"/>
            <w:shd w:val="clear" w:color="auto" w:fill="auto"/>
            <w:vAlign w:val="center"/>
          </w:tcPr>
          <w:p w14:paraId="7B5C01EC">
            <w:pPr>
              <w:jc w:val="center"/>
              <w:rPr>
                <w:rFonts w:ascii="仿宋" w:hAnsi="仿宋" w:eastAsia="仿宋" w:cs="宋体"/>
                <w:color w:val="000000"/>
                <w:sz w:val="18"/>
                <w:szCs w:val="18"/>
              </w:rPr>
            </w:pPr>
            <w:r>
              <w:rPr>
                <w:rFonts w:hint="eastAsia" w:ascii="仿宋" w:hAnsi="仿宋" w:eastAsia="仿宋"/>
                <w:color w:val="000000"/>
                <w:sz w:val="18"/>
                <w:szCs w:val="18"/>
              </w:rPr>
              <w:t>社会效益</w:t>
            </w:r>
            <w:r>
              <w:rPr>
                <w:rFonts w:hint="eastAsia" w:ascii="仿宋" w:hAnsi="仿宋" w:eastAsia="仿宋"/>
                <w:color w:val="000000"/>
                <w:sz w:val="18"/>
                <w:szCs w:val="18"/>
              </w:rPr>
              <w:br w:type="textWrapping"/>
            </w:r>
            <w:r>
              <w:rPr>
                <w:rFonts w:hint="eastAsia" w:ascii="仿宋" w:hAnsi="仿宋" w:eastAsia="仿宋"/>
                <w:color w:val="000000"/>
                <w:sz w:val="18"/>
                <w:szCs w:val="18"/>
              </w:rPr>
              <w:t>（12分）</w:t>
            </w:r>
          </w:p>
        </w:tc>
        <w:tc>
          <w:tcPr>
            <w:tcW w:w="2480" w:type="dxa"/>
            <w:vMerge w:val="restart"/>
            <w:shd w:val="clear" w:color="auto" w:fill="auto"/>
            <w:vAlign w:val="center"/>
          </w:tcPr>
          <w:p w14:paraId="2EBDB63A">
            <w:pPr>
              <w:rPr>
                <w:rFonts w:ascii="仿宋" w:hAnsi="仿宋" w:eastAsia="仿宋" w:cs="宋体"/>
                <w:color w:val="000000"/>
                <w:sz w:val="18"/>
                <w:szCs w:val="18"/>
              </w:rPr>
            </w:pPr>
            <w:r>
              <w:rPr>
                <w:rFonts w:hint="eastAsia" w:ascii="仿宋" w:hAnsi="仿宋" w:eastAsia="仿宋"/>
                <w:color w:val="000000"/>
                <w:sz w:val="18"/>
                <w:szCs w:val="18"/>
              </w:rPr>
              <w:t>旅客吞吐量全国排名（6分）</w:t>
            </w:r>
          </w:p>
        </w:tc>
        <w:tc>
          <w:tcPr>
            <w:tcW w:w="3680" w:type="dxa"/>
            <w:shd w:val="clear" w:color="auto" w:fill="auto"/>
            <w:vAlign w:val="center"/>
          </w:tcPr>
          <w:p w14:paraId="778C3A30">
            <w:pPr>
              <w:rPr>
                <w:rFonts w:ascii="仿宋" w:hAnsi="仿宋" w:eastAsia="仿宋" w:cs="宋体"/>
                <w:color w:val="000000"/>
                <w:sz w:val="18"/>
                <w:szCs w:val="18"/>
              </w:rPr>
            </w:pPr>
            <w:r>
              <w:rPr>
                <w:rFonts w:hint="eastAsia" w:ascii="仿宋" w:hAnsi="仿宋" w:eastAsia="仿宋"/>
                <w:color w:val="000000"/>
                <w:sz w:val="18"/>
                <w:szCs w:val="18"/>
              </w:rPr>
              <w:t>①  与上年排名持平，计3分；</w:t>
            </w:r>
          </w:p>
        </w:tc>
        <w:tc>
          <w:tcPr>
            <w:tcW w:w="1060" w:type="dxa"/>
            <w:vMerge w:val="restart"/>
            <w:shd w:val="clear" w:color="auto" w:fill="auto"/>
            <w:noWrap/>
            <w:vAlign w:val="center"/>
          </w:tcPr>
          <w:p w14:paraId="6CC5C84F">
            <w:pPr>
              <w:jc w:val="center"/>
              <w:rPr>
                <w:rFonts w:ascii="仿宋" w:hAnsi="仿宋" w:eastAsia="仿宋" w:cs="宋体"/>
                <w:color w:val="000000"/>
                <w:sz w:val="18"/>
                <w:szCs w:val="18"/>
              </w:rPr>
            </w:pPr>
            <w:r>
              <w:rPr>
                <w:rFonts w:hint="eastAsia" w:ascii="仿宋" w:hAnsi="仿宋" w:eastAsia="仿宋"/>
                <w:color w:val="000000"/>
                <w:sz w:val="18"/>
                <w:szCs w:val="18"/>
              </w:rPr>
              <w:t>6</w:t>
            </w:r>
          </w:p>
        </w:tc>
      </w:tr>
      <w:tr w14:paraId="1BDD141A">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jc w:val="center"/>
        </w:trPr>
        <w:tc>
          <w:tcPr>
            <w:tcW w:w="1060" w:type="dxa"/>
            <w:vMerge w:val="continue"/>
            <w:shd w:val="clear" w:color="auto" w:fill="auto"/>
            <w:vAlign w:val="center"/>
          </w:tcPr>
          <w:p w14:paraId="279A8085">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670A703F">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74CFE6D5">
            <w:pPr>
              <w:widowControl/>
              <w:jc w:val="left"/>
              <w:rPr>
                <w:rFonts w:ascii="仿宋" w:hAnsi="仿宋" w:eastAsia="仿宋" w:cs="宋体"/>
                <w:color w:val="000000"/>
                <w:kern w:val="0"/>
                <w:sz w:val="18"/>
                <w:szCs w:val="18"/>
              </w:rPr>
            </w:pPr>
          </w:p>
        </w:tc>
        <w:tc>
          <w:tcPr>
            <w:tcW w:w="3680" w:type="dxa"/>
            <w:shd w:val="clear" w:color="auto" w:fill="auto"/>
            <w:vAlign w:val="center"/>
          </w:tcPr>
          <w:p w14:paraId="6A18580D">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排名升高，计6分；</w:t>
            </w:r>
          </w:p>
        </w:tc>
        <w:tc>
          <w:tcPr>
            <w:tcW w:w="1060" w:type="dxa"/>
            <w:vMerge w:val="continue"/>
            <w:shd w:val="clear" w:color="auto" w:fill="auto"/>
            <w:vAlign w:val="center"/>
          </w:tcPr>
          <w:p w14:paraId="33046901">
            <w:pPr>
              <w:widowControl/>
              <w:jc w:val="left"/>
              <w:rPr>
                <w:rFonts w:ascii="仿宋" w:hAnsi="仿宋" w:eastAsia="仿宋" w:cs="宋体"/>
                <w:color w:val="000000"/>
                <w:kern w:val="0"/>
                <w:sz w:val="18"/>
                <w:szCs w:val="18"/>
              </w:rPr>
            </w:pPr>
          </w:p>
        </w:tc>
      </w:tr>
      <w:tr w14:paraId="5C000E56">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jc w:val="center"/>
        </w:trPr>
        <w:tc>
          <w:tcPr>
            <w:tcW w:w="1060" w:type="dxa"/>
            <w:vMerge w:val="continue"/>
            <w:shd w:val="clear" w:color="auto" w:fill="auto"/>
            <w:vAlign w:val="center"/>
          </w:tcPr>
          <w:p w14:paraId="6FAEF30B">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3F243EA3">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285CA468">
            <w:pPr>
              <w:widowControl/>
              <w:jc w:val="left"/>
              <w:rPr>
                <w:rFonts w:ascii="仿宋" w:hAnsi="仿宋" w:eastAsia="仿宋" w:cs="宋体"/>
                <w:color w:val="000000"/>
                <w:kern w:val="0"/>
                <w:sz w:val="18"/>
                <w:szCs w:val="18"/>
              </w:rPr>
            </w:pPr>
          </w:p>
        </w:tc>
        <w:tc>
          <w:tcPr>
            <w:tcW w:w="3680" w:type="dxa"/>
            <w:shd w:val="clear" w:color="auto" w:fill="auto"/>
            <w:vAlign w:val="center"/>
          </w:tcPr>
          <w:p w14:paraId="7D1CE156">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③  排名降低不得分，计0分。</w:t>
            </w:r>
          </w:p>
        </w:tc>
        <w:tc>
          <w:tcPr>
            <w:tcW w:w="1060" w:type="dxa"/>
            <w:vMerge w:val="continue"/>
            <w:shd w:val="clear" w:color="auto" w:fill="auto"/>
            <w:vAlign w:val="center"/>
          </w:tcPr>
          <w:p w14:paraId="22FE901B">
            <w:pPr>
              <w:widowControl/>
              <w:jc w:val="left"/>
              <w:rPr>
                <w:rFonts w:ascii="仿宋" w:hAnsi="仿宋" w:eastAsia="仿宋" w:cs="宋体"/>
                <w:color w:val="000000"/>
                <w:kern w:val="0"/>
                <w:sz w:val="18"/>
                <w:szCs w:val="18"/>
              </w:rPr>
            </w:pPr>
          </w:p>
        </w:tc>
      </w:tr>
      <w:tr w14:paraId="54249C1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jc w:val="center"/>
        </w:trPr>
        <w:tc>
          <w:tcPr>
            <w:tcW w:w="1060" w:type="dxa"/>
            <w:vMerge w:val="continue"/>
            <w:shd w:val="clear" w:color="auto" w:fill="auto"/>
            <w:vAlign w:val="center"/>
          </w:tcPr>
          <w:p w14:paraId="238BAB08">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29130975">
            <w:pPr>
              <w:widowControl/>
              <w:jc w:val="left"/>
              <w:rPr>
                <w:rFonts w:ascii="仿宋" w:hAnsi="仿宋" w:eastAsia="仿宋" w:cs="宋体"/>
                <w:color w:val="000000"/>
                <w:kern w:val="0"/>
                <w:sz w:val="18"/>
                <w:szCs w:val="18"/>
              </w:rPr>
            </w:pPr>
          </w:p>
        </w:tc>
        <w:tc>
          <w:tcPr>
            <w:tcW w:w="2480" w:type="dxa"/>
            <w:vMerge w:val="restart"/>
            <w:shd w:val="clear" w:color="auto" w:fill="auto"/>
            <w:vAlign w:val="center"/>
          </w:tcPr>
          <w:p w14:paraId="7F081BFE">
            <w:pPr>
              <w:widowControl/>
              <w:rPr>
                <w:rFonts w:ascii="仿宋" w:hAnsi="仿宋" w:eastAsia="仿宋" w:cs="宋体"/>
                <w:color w:val="000000"/>
                <w:kern w:val="0"/>
                <w:sz w:val="18"/>
                <w:szCs w:val="18"/>
              </w:rPr>
            </w:pPr>
            <w:r>
              <w:rPr>
                <w:rFonts w:hint="eastAsia" w:ascii="仿宋" w:hAnsi="仿宋" w:eastAsia="仿宋"/>
                <w:color w:val="000000"/>
                <w:sz w:val="18"/>
                <w:szCs w:val="18"/>
              </w:rPr>
              <w:t>货邮吞吐量全国排名（6分）</w:t>
            </w:r>
          </w:p>
        </w:tc>
        <w:tc>
          <w:tcPr>
            <w:tcW w:w="3680" w:type="dxa"/>
            <w:shd w:val="clear" w:color="auto" w:fill="auto"/>
            <w:vAlign w:val="center"/>
          </w:tcPr>
          <w:p w14:paraId="39A3DA9E">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①  与上年排名持平，计3分；</w:t>
            </w:r>
          </w:p>
        </w:tc>
        <w:tc>
          <w:tcPr>
            <w:tcW w:w="1060" w:type="dxa"/>
            <w:vMerge w:val="restart"/>
            <w:shd w:val="clear" w:color="auto" w:fill="auto"/>
            <w:noWrap/>
            <w:vAlign w:val="center"/>
          </w:tcPr>
          <w:p w14:paraId="3E25C42E">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6</w:t>
            </w:r>
          </w:p>
        </w:tc>
      </w:tr>
      <w:tr w14:paraId="325A3EE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jc w:val="center"/>
        </w:trPr>
        <w:tc>
          <w:tcPr>
            <w:tcW w:w="1060" w:type="dxa"/>
            <w:vMerge w:val="continue"/>
            <w:shd w:val="clear" w:color="auto" w:fill="auto"/>
            <w:vAlign w:val="center"/>
          </w:tcPr>
          <w:p w14:paraId="080A92B4">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57CC3CAC">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592D853E">
            <w:pPr>
              <w:widowControl/>
              <w:jc w:val="left"/>
              <w:rPr>
                <w:rFonts w:ascii="仿宋" w:hAnsi="仿宋" w:eastAsia="仿宋" w:cs="宋体"/>
                <w:color w:val="000000"/>
                <w:kern w:val="0"/>
                <w:sz w:val="18"/>
                <w:szCs w:val="18"/>
              </w:rPr>
            </w:pPr>
          </w:p>
        </w:tc>
        <w:tc>
          <w:tcPr>
            <w:tcW w:w="3680" w:type="dxa"/>
            <w:shd w:val="clear" w:color="auto" w:fill="auto"/>
            <w:vAlign w:val="center"/>
          </w:tcPr>
          <w:p w14:paraId="0320D196">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排名升高，计6分；</w:t>
            </w:r>
          </w:p>
        </w:tc>
        <w:tc>
          <w:tcPr>
            <w:tcW w:w="1060" w:type="dxa"/>
            <w:vMerge w:val="continue"/>
            <w:shd w:val="clear" w:color="auto" w:fill="auto"/>
            <w:vAlign w:val="center"/>
          </w:tcPr>
          <w:p w14:paraId="520D41DE">
            <w:pPr>
              <w:widowControl/>
              <w:jc w:val="left"/>
              <w:rPr>
                <w:rFonts w:ascii="仿宋" w:hAnsi="仿宋" w:eastAsia="仿宋" w:cs="宋体"/>
                <w:color w:val="000000"/>
                <w:kern w:val="0"/>
                <w:sz w:val="18"/>
                <w:szCs w:val="18"/>
              </w:rPr>
            </w:pPr>
          </w:p>
        </w:tc>
      </w:tr>
      <w:tr w14:paraId="76AF0980">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jc w:val="center"/>
        </w:trPr>
        <w:tc>
          <w:tcPr>
            <w:tcW w:w="1060" w:type="dxa"/>
            <w:vMerge w:val="continue"/>
            <w:shd w:val="clear" w:color="auto" w:fill="auto"/>
            <w:vAlign w:val="center"/>
          </w:tcPr>
          <w:p w14:paraId="1983A2F6">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5B8B0F50">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6444058D">
            <w:pPr>
              <w:widowControl/>
              <w:jc w:val="left"/>
              <w:rPr>
                <w:rFonts w:ascii="仿宋" w:hAnsi="仿宋" w:eastAsia="仿宋" w:cs="宋体"/>
                <w:color w:val="000000"/>
                <w:kern w:val="0"/>
                <w:sz w:val="18"/>
                <w:szCs w:val="18"/>
              </w:rPr>
            </w:pPr>
          </w:p>
        </w:tc>
        <w:tc>
          <w:tcPr>
            <w:tcW w:w="3680" w:type="dxa"/>
            <w:shd w:val="clear" w:color="auto" w:fill="auto"/>
            <w:vAlign w:val="center"/>
          </w:tcPr>
          <w:p w14:paraId="33063C5B">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③  排名降低不得分，计0分。</w:t>
            </w:r>
          </w:p>
        </w:tc>
        <w:tc>
          <w:tcPr>
            <w:tcW w:w="1060" w:type="dxa"/>
            <w:vMerge w:val="continue"/>
            <w:shd w:val="clear" w:color="auto" w:fill="auto"/>
            <w:vAlign w:val="center"/>
          </w:tcPr>
          <w:p w14:paraId="2202B33B">
            <w:pPr>
              <w:widowControl/>
              <w:jc w:val="left"/>
              <w:rPr>
                <w:rFonts w:ascii="仿宋" w:hAnsi="仿宋" w:eastAsia="仿宋" w:cs="宋体"/>
                <w:color w:val="000000"/>
                <w:kern w:val="0"/>
                <w:sz w:val="18"/>
                <w:szCs w:val="18"/>
              </w:rPr>
            </w:pPr>
          </w:p>
        </w:tc>
      </w:tr>
      <w:tr w14:paraId="493C877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20" w:hRule="atLeast"/>
          <w:jc w:val="center"/>
        </w:trPr>
        <w:tc>
          <w:tcPr>
            <w:tcW w:w="1060" w:type="dxa"/>
            <w:vMerge w:val="continue"/>
            <w:shd w:val="clear" w:color="auto" w:fill="auto"/>
            <w:vAlign w:val="center"/>
          </w:tcPr>
          <w:p w14:paraId="441A850B">
            <w:pPr>
              <w:widowControl/>
              <w:jc w:val="left"/>
              <w:rPr>
                <w:rFonts w:ascii="仿宋" w:hAnsi="仿宋" w:eastAsia="仿宋" w:cs="宋体"/>
                <w:color w:val="000000"/>
                <w:kern w:val="0"/>
                <w:sz w:val="18"/>
                <w:szCs w:val="18"/>
              </w:rPr>
            </w:pPr>
          </w:p>
        </w:tc>
        <w:tc>
          <w:tcPr>
            <w:tcW w:w="1060" w:type="dxa"/>
            <w:vMerge w:val="restart"/>
            <w:shd w:val="clear" w:color="auto" w:fill="auto"/>
            <w:vAlign w:val="center"/>
          </w:tcPr>
          <w:p w14:paraId="709ACC23">
            <w:pPr>
              <w:jc w:val="center"/>
              <w:rPr>
                <w:rFonts w:ascii="仿宋" w:hAnsi="仿宋" w:eastAsia="仿宋" w:cs="宋体"/>
                <w:color w:val="000000"/>
                <w:sz w:val="18"/>
                <w:szCs w:val="18"/>
              </w:rPr>
            </w:pPr>
            <w:r>
              <w:rPr>
                <w:rFonts w:hint="eastAsia" w:ascii="仿宋" w:hAnsi="仿宋" w:eastAsia="仿宋"/>
                <w:color w:val="000000"/>
                <w:sz w:val="18"/>
                <w:szCs w:val="18"/>
              </w:rPr>
              <w:t>经济效益</w:t>
            </w:r>
            <w:r>
              <w:rPr>
                <w:rFonts w:hint="eastAsia" w:ascii="仿宋" w:hAnsi="仿宋" w:eastAsia="仿宋"/>
                <w:color w:val="000000"/>
                <w:sz w:val="18"/>
                <w:szCs w:val="18"/>
              </w:rPr>
              <w:br w:type="textWrapping"/>
            </w:r>
            <w:r>
              <w:rPr>
                <w:rFonts w:hint="eastAsia" w:ascii="仿宋" w:hAnsi="仿宋" w:eastAsia="仿宋"/>
                <w:color w:val="000000"/>
                <w:sz w:val="18"/>
                <w:szCs w:val="18"/>
              </w:rPr>
              <w:t>（6分）</w:t>
            </w:r>
          </w:p>
        </w:tc>
        <w:tc>
          <w:tcPr>
            <w:tcW w:w="2480" w:type="dxa"/>
            <w:vMerge w:val="restart"/>
            <w:shd w:val="clear" w:color="auto" w:fill="auto"/>
            <w:vAlign w:val="center"/>
          </w:tcPr>
          <w:p w14:paraId="3D62806D">
            <w:pPr>
              <w:rPr>
                <w:rFonts w:ascii="仿宋" w:hAnsi="仿宋" w:eastAsia="仿宋" w:cs="宋体"/>
                <w:color w:val="000000"/>
                <w:sz w:val="18"/>
                <w:szCs w:val="18"/>
              </w:rPr>
            </w:pPr>
            <w:r>
              <w:rPr>
                <w:rFonts w:hint="eastAsia" w:ascii="仿宋" w:hAnsi="仿宋" w:eastAsia="仿宋"/>
                <w:color w:val="000000"/>
                <w:sz w:val="18"/>
                <w:szCs w:val="18"/>
              </w:rPr>
              <w:t>平台资金带动系数（6分）</w:t>
            </w:r>
          </w:p>
        </w:tc>
        <w:tc>
          <w:tcPr>
            <w:tcW w:w="3680" w:type="dxa"/>
            <w:shd w:val="clear" w:color="auto" w:fill="auto"/>
            <w:vAlign w:val="center"/>
          </w:tcPr>
          <w:p w14:paraId="49299D3E">
            <w:pPr>
              <w:rPr>
                <w:rFonts w:ascii="仿宋" w:hAnsi="仿宋" w:eastAsia="仿宋" w:cs="宋体"/>
                <w:color w:val="000000"/>
                <w:sz w:val="18"/>
                <w:szCs w:val="18"/>
              </w:rPr>
            </w:pPr>
            <w:r>
              <w:rPr>
                <w:rFonts w:hint="eastAsia" w:ascii="仿宋" w:hAnsi="仿宋" w:eastAsia="仿宋"/>
                <w:color w:val="000000"/>
                <w:sz w:val="18"/>
                <w:szCs w:val="18"/>
              </w:rPr>
              <w:t>平台资金带动系数=（平台企业配比出资+优惠减免各类运营收费+开展民航市场推广费用）/政府投入专项资金</w:t>
            </w:r>
            <w:r>
              <w:rPr>
                <w:rFonts w:hint="eastAsia" w:ascii="仿宋" w:hAnsi="仿宋" w:eastAsia="仿宋"/>
                <w:sz w:val="18"/>
                <w:szCs w:val="18"/>
              </w:rPr>
              <w:t>×</w:t>
            </w:r>
            <w:r>
              <w:rPr>
                <w:rFonts w:hint="eastAsia" w:ascii="仿宋" w:hAnsi="仿宋" w:eastAsia="仿宋"/>
                <w:color w:val="000000"/>
                <w:sz w:val="18"/>
                <w:szCs w:val="18"/>
              </w:rPr>
              <w:t>100%</w:t>
            </w:r>
          </w:p>
        </w:tc>
        <w:tc>
          <w:tcPr>
            <w:tcW w:w="1060" w:type="dxa"/>
            <w:vMerge w:val="restart"/>
            <w:shd w:val="clear" w:color="auto" w:fill="auto"/>
            <w:noWrap/>
            <w:vAlign w:val="center"/>
          </w:tcPr>
          <w:p w14:paraId="27CFA365">
            <w:pPr>
              <w:jc w:val="center"/>
              <w:rPr>
                <w:rFonts w:ascii="仿宋" w:hAnsi="仿宋" w:eastAsia="仿宋" w:cs="宋体"/>
                <w:color w:val="000000"/>
                <w:sz w:val="18"/>
                <w:szCs w:val="18"/>
              </w:rPr>
            </w:pPr>
            <w:r>
              <w:rPr>
                <w:rFonts w:hint="eastAsia" w:ascii="仿宋" w:hAnsi="仿宋" w:eastAsia="仿宋"/>
                <w:color w:val="000000"/>
                <w:sz w:val="18"/>
                <w:szCs w:val="18"/>
              </w:rPr>
              <w:t>6</w:t>
            </w:r>
          </w:p>
        </w:tc>
      </w:tr>
      <w:tr w14:paraId="2200280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jc w:val="center"/>
        </w:trPr>
        <w:tc>
          <w:tcPr>
            <w:tcW w:w="1060" w:type="dxa"/>
            <w:vMerge w:val="continue"/>
            <w:shd w:val="clear" w:color="auto" w:fill="auto"/>
            <w:vAlign w:val="center"/>
          </w:tcPr>
          <w:p w14:paraId="74808A66">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52295A6B">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08EB2BFB">
            <w:pPr>
              <w:widowControl/>
              <w:jc w:val="left"/>
              <w:rPr>
                <w:rFonts w:ascii="仿宋" w:hAnsi="仿宋" w:eastAsia="仿宋" w:cs="宋体"/>
                <w:color w:val="000000"/>
                <w:kern w:val="0"/>
                <w:sz w:val="18"/>
                <w:szCs w:val="18"/>
              </w:rPr>
            </w:pPr>
          </w:p>
        </w:tc>
        <w:tc>
          <w:tcPr>
            <w:tcW w:w="3680" w:type="dxa"/>
            <w:shd w:val="clear" w:color="auto" w:fill="auto"/>
            <w:vAlign w:val="center"/>
          </w:tcPr>
          <w:p w14:paraId="28559554">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①  平台资金带动系数达到3%，计6分；</w:t>
            </w:r>
          </w:p>
        </w:tc>
        <w:tc>
          <w:tcPr>
            <w:tcW w:w="1060" w:type="dxa"/>
            <w:vMerge w:val="continue"/>
            <w:shd w:val="clear" w:color="auto" w:fill="auto"/>
            <w:vAlign w:val="center"/>
          </w:tcPr>
          <w:p w14:paraId="05CFFDBD">
            <w:pPr>
              <w:widowControl/>
              <w:jc w:val="left"/>
              <w:rPr>
                <w:rFonts w:ascii="仿宋" w:hAnsi="仿宋" w:eastAsia="仿宋" w:cs="宋体"/>
                <w:color w:val="000000"/>
                <w:kern w:val="0"/>
                <w:sz w:val="18"/>
                <w:szCs w:val="18"/>
              </w:rPr>
            </w:pPr>
          </w:p>
        </w:tc>
      </w:tr>
      <w:tr w14:paraId="14DB835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51B3CE35">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16A5B278">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7372547B">
            <w:pPr>
              <w:widowControl/>
              <w:jc w:val="left"/>
              <w:rPr>
                <w:rFonts w:ascii="仿宋" w:hAnsi="仿宋" w:eastAsia="仿宋" w:cs="宋体"/>
                <w:color w:val="000000"/>
                <w:kern w:val="0"/>
                <w:sz w:val="18"/>
                <w:szCs w:val="18"/>
              </w:rPr>
            </w:pPr>
          </w:p>
        </w:tc>
        <w:tc>
          <w:tcPr>
            <w:tcW w:w="3680" w:type="dxa"/>
            <w:shd w:val="clear" w:color="auto" w:fill="auto"/>
            <w:vAlign w:val="center"/>
          </w:tcPr>
          <w:p w14:paraId="21E9CD90">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平台资金带动系数未达到3%，按</w:t>
            </w:r>
            <w:r>
              <w:rPr>
                <w:rFonts w:hint="eastAsia" w:ascii="仿宋" w:hAnsi="仿宋" w:eastAsia="仿宋"/>
                <w:sz w:val="18"/>
                <w:szCs w:val="18"/>
              </w:rPr>
              <w:t>实际系数与3%的比值，乘以6分计分。</w:t>
            </w:r>
          </w:p>
        </w:tc>
        <w:tc>
          <w:tcPr>
            <w:tcW w:w="1060" w:type="dxa"/>
            <w:vMerge w:val="continue"/>
            <w:shd w:val="clear" w:color="auto" w:fill="auto"/>
            <w:vAlign w:val="center"/>
          </w:tcPr>
          <w:p w14:paraId="216B95BD">
            <w:pPr>
              <w:widowControl/>
              <w:jc w:val="left"/>
              <w:rPr>
                <w:rFonts w:ascii="仿宋" w:hAnsi="仿宋" w:eastAsia="仿宋" w:cs="宋体"/>
                <w:color w:val="000000"/>
                <w:kern w:val="0"/>
                <w:sz w:val="18"/>
                <w:szCs w:val="18"/>
              </w:rPr>
            </w:pPr>
          </w:p>
        </w:tc>
      </w:tr>
      <w:tr w14:paraId="6E6D740D">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48103734">
            <w:pPr>
              <w:widowControl/>
              <w:jc w:val="left"/>
              <w:rPr>
                <w:rFonts w:ascii="仿宋" w:hAnsi="仿宋" w:eastAsia="仿宋" w:cs="宋体"/>
                <w:color w:val="000000"/>
                <w:kern w:val="0"/>
                <w:sz w:val="18"/>
                <w:szCs w:val="18"/>
              </w:rPr>
            </w:pPr>
          </w:p>
        </w:tc>
        <w:tc>
          <w:tcPr>
            <w:tcW w:w="1060" w:type="dxa"/>
            <w:vMerge w:val="restart"/>
            <w:shd w:val="clear" w:color="auto" w:fill="auto"/>
            <w:vAlign w:val="center"/>
          </w:tcPr>
          <w:p w14:paraId="3690F5C6">
            <w:pPr>
              <w:jc w:val="center"/>
              <w:rPr>
                <w:rFonts w:ascii="仿宋" w:hAnsi="仿宋" w:eastAsia="仿宋" w:cs="宋体"/>
                <w:color w:val="000000"/>
                <w:sz w:val="18"/>
                <w:szCs w:val="18"/>
              </w:rPr>
            </w:pPr>
            <w:r>
              <w:rPr>
                <w:rFonts w:hint="eastAsia" w:ascii="仿宋" w:hAnsi="仿宋" w:eastAsia="仿宋"/>
                <w:color w:val="000000"/>
                <w:sz w:val="18"/>
                <w:szCs w:val="18"/>
              </w:rPr>
              <w:t>实施效益</w:t>
            </w:r>
            <w:r>
              <w:rPr>
                <w:rFonts w:hint="eastAsia" w:ascii="仿宋" w:hAnsi="仿宋" w:eastAsia="仿宋"/>
                <w:color w:val="000000"/>
                <w:sz w:val="18"/>
                <w:szCs w:val="18"/>
              </w:rPr>
              <w:br w:type="textWrapping"/>
            </w:r>
            <w:r>
              <w:rPr>
                <w:rFonts w:hint="eastAsia" w:ascii="仿宋" w:hAnsi="仿宋" w:eastAsia="仿宋"/>
                <w:color w:val="000000"/>
                <w:sz w:val="18"/>
                <w:szCs w:val="18"/>
              </w:rPr>
              <w:t>（12分）</w:t>
            </w:r>
          </w:p>
        </w:tc>
        <w:tc>
          <w:tcPr>
            <w:tcW w:w="2480" w:type="dxa"/>
            <w:vMerge w:val="restart"/>
            <w:shd w:val="clear" w:color="auto" w:fill="auto"/>
            <w:vAlign w:val="center"/>
          </w:tcPr>
          <w:p w14:paraId="01988C19">
            <w:pPr>
              <w:rPr>
                <w:rFonts w:ascii="仿宋" w:hAnsi="仿宋" w:eastAsia="仿宋" w:cs="宋体"/>
                <w:color w:val="000000"/>
                <w:sz w:val="18"/>
                <w:szCs w:val="18"/>
              </w:rPr>
            </w:pPr>
            <w:r>
              <w:rPr>
                <w:rFonts w:hint="eastAsia" w:ascii="仿宋" w:hAnsi="仿宋" w:eastAsia="仿宋"/>
                <w:color w:val="000000"/>
                <w:sz w:val="18"/>
                <w:szCs w:val="18"/>
              </w:rPr>
              <w:t>可持续影响（8分）</w:t>
            </w:r>
          </w:p>
        </w:tc>
        <w:tc>
          <w:tcPr>
            <w:tcW w:w="3680" w:type="dxa"/>
            <w:shd w:val="clear" w:color="auto" w:fill="auto"/>
            <w:vAlign w:val="center"/>
          </w:tcPr>
          <w:p w14:paraId="23523885">
            <w:pPr>
              <w:rPr>
                <w:rFonts w:ascii="仿宋" w:hAnsi="仿宋" w:eastAsia="仿宋" w:cs="宋体"/>
                <w:color w:val="000000"/>
                <w:sz w:val="18"/>
                <w:szCs w:val="18"/>
              </w:rPr>
            </w:pPr>
            <w:r>
              <w:rPr>
                <w:rFonts w:hint="eastAsia" w:ascii="仿宋" w:hAnsi="仿宋" w:eastAsia="仿宋"/>
                <w:color w:val="000000"/>
                <w:sz w:val="18"/>
                <w:szCs w:val="18"/>
              </w:rPr>
              <w:t>①  建立天河机场货运物流长期规划，计2分；</w:t>
            </w:r>
          </w:p>
        </w:tc>
        <w:tc>
          <w:tcPr>
            <w:tcW w:w="1060" w:type="dxa"/>
            <w:vMerge w:val="restart"/>
            <w:shd w:val="clear" w:color="auto" w:fill="auto"/>
            <w:noWrap/>
            <w:vAlign w:val="center"/>
          </w:tcPr>
          <w:p w14:paraId="6D25D353">
            <w:pPr>
              <w:jc w:val="center"/>
              <w:rPr>
                <w:rFonts w:ascii="仿宋" w:hAnsi="仿宋" w:eastAsia="仿宋" w:cs="宋体"/>
                <w:color w:val="000000"/>
                <w:sz w:val="18"/>
                <w:szCs w:val="18"/>
              </w:rPr>
            </w:pPr>
            <w:r>
              <w:rPr>
                <w:rFonts w:hint="eastAsia" w:ascii="仿宋" w:hAnsi="仿宋" w:eastAsia="仿宋"/>
                <w:color w:val="000000"/>
                <w:sz w:val="18"/>
                <w:szCs w:val="18"/>
              </w:rPr>
              <w:t>8</w:t>
            </w:r>
          </w:p>
        </w:tc>
      </w:tr>
      <w:tr w14:paraId="7F5F65C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0E72945D">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5947E4CD">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77787AF6">
            <w:pPr>
              <w:widowControl/>
              <w:jc w:val="left"/>
              <w:rPr>
                <w:rFonts w:ascii="仿宋" w:hAnsi="仿宋" w:eastAsia="仿宋" w:cs="宋体"/>
                <w:color w:val="000000"/>
                <w:kern w:val="0"/>
                <w:sz w:val="18"/>
                <w:szCs w:val="18"/>
              </w:rPr>
            </w:pPr>
          </w:p>
        </w:tc>
        <w:tc>
          <w:tcPr>
            <w:tcW w:w="3680" w:type="dxa"/>
            <w:shd w:val="clear" w:color="auto" w:fill="auto"/>
            <w:vAlign w:val="center"/>
          </w:tcPr>
          <w:p w14:paraId="0DE28B47">
            <w:pPr>
              <w:jc w:val="left"/>
              <w:rPr>
                <w:rFonts w:ascii="仿宋" w:hAnsi="仿宋" w:eastAsia="仿宋" w:cs="宋体"/>
                <w:color w:val="000000"/>
                <w:sz w:val="18"/>
                <w:szCs w:val="18"/>
              </w:rPr>
            </w:pPr>
            <w:r>
              <w:rPr>
                <w:rFonts w:hint="eastAsia" w:ascii="仿宋" w:hAnsi="仿宋" w:eastAsia="仿宋"/>
                <w:color w:val="000000"/>
                <w:sz w:val="18"/>
                <w:szCs w:val="18"/>
              </w:rPr>
              <w:t>②  推动“武汉天河机场旅客班车公交化”项目实施，计2分。</w:t>
            </w:r>
          </w:p>
        </w:tc>
        <w:tc>
          <w:tcPr>
            <w:tcW w:w="1060" w:type="dxa"/>
            <w:vMerge w:val="continue"/>
            <w:shd w:val="clear" w:color="auto" w:fill="auto"/>
            <w:vAlign w:val="center"/>
          </w:tcPr>
          <w:p w14:paraId="59016E3C">
            <w:pPr>
              <w:widowControl/>
              <w:jc w:val="left"/>
              <w:rPr>
                <w:rFonts w:ascii="仿宋" w:hAnsi="仿宋" w:eastAsia="仿宋" w:cs="宋体"/>
                <w:color w:val="000000"/>
                <w:kern w:val="0"/>
                <w:sz w:val="18"/>
                <w:szCs w:val="18"/>
              </w:rPr>
            </w:pPr>
          </w:p>
        </w:tc>
      </w:tr>
      <w:tr w14:paraId="41FA96A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3F3F5A11">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1DE0E894">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6473EFDE">
            <w:pPr>
              <w:widowControl/>
              <w:jc w:val="left"/>
              <w:rPr>
                <w:rFonts w:ascii="仿宋" w:hAnsi="仿宋" w:eastAsia="仿宋" w:cs="宋体"/>
                <w:color w:val="000000"/>
                <w:kern w:val="0"/>
                <w:sz w:val="18"/>
                <w:szCs w:val="18"/>
              </w:rPr>
            </w:pPr>
          </w:p>
        </w:tc>
        <w:tc>
          <w:tcPr>
            <w:tcW w:w="3680" w:type="dxa"/>
            <w:shd w:val="clear" w:color="auto" w:fill="auto"/>
            <w:vAlign w:val="center"/>
          </w:tcPr>
          <w:p w14:paraId="57AEB49D">
            <w:pPr>
              <w:jc w:val="left"/>
              <w:rPr>
                <w:rFonts w:ascii="仿宋" w:hAnsi="仿宋" w:eastAsia="仿宋"/>
                <w:color w:val="000000"/>
                <w:sz w:val="18"/>
                <w:szCs w:val="18"/>
              </w:rPr>
            </w:pPr>
            <w:r>
              <w:rPr>
                <w:rFonts w:hint="eastAsia" w:ascii="仿宋" w:hAnsi="仿宋" w:eastAsia="仿宋"/>
                <w:sz w:val="18"/>
                <w:szCs w:val="18"/>
              </w:rPr>
              <w:t>③  实施新《管理办法》，计2分；</w:t>
            </w:r>
          </w:p>
        </w:tc>
        <w:tc>
          <w:tcPr>
            <w:tcW w:w="1060" w:type="dxa"/>
            <w:vMerge w:val="continue"/>
            <w:shd w:val="clear" w:color="auto" w:fill="auto"/>
            <w:vAlign w:val="center"/>
          </w:tcPr>
          <w:p w14:paraId="4B9A19BA">
            <w:pPr>
              <w:widowControl/>
              <w:jc w:val="left"/>
              <w:rPr>
                <w:rFonts w:ascii="仿宋" w:hAnsi="仿宋" w:eastAsia="仿宋" w:cs="宋体"/>
                <w:color w:val="000000"/>
                <w:kern w:val="0"/>
                <w:sz w:val="18"/>
                <w:szCs w:val="18"/>
              </w:rPr>
            </w:pPr>
          </w:p>
        </w:tc>
      </w:tr>
      <w:tr w14:paraId="524885E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6977AFBC">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07C004E3">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66B62273">
            <w:pPr>
              <w:widowControl/>
              <w:jc w:val="left"/>
              <w:rPr>
                <w:rFonts w:ascii="仿宋" w:hAnsi="仿宋" w:eastAsia="仿宋" w:cs="宋体"/>
                <w:color w:val="000000"/>
                <w:kern w:val="0"/>
                <w:sz w:val="18"/>
                <w:szCs w:val="18"/>
              </w:rPr>
            </w:pPr>
          </w:p>
        </w:tc>
        <w:tc>
          <w:tcPr>
            <w:tcW w:w="3680" w:type="dxa"/>
            <w:shd w:val="clear" w:color="auto" w:fill="auto"/>
            <w:vAlign w:val="center"/>
          </w:tcPr>
          <w:p w14:paraId="3FB3E514">
            <w:pPr>
              <w:jc w:val="left"/>
              <w:rPr>
                <w:rFonts w:ascii="仿宋" w:hAnsi="仿宋" w:eastAsia="仿宋"/>
                <w:color w:val="000000"/>
                <w:sz w:val="18"/>
                <w:szCs w:val="18"/>
              </w:rPr>
            </w:pPr>
            <w:r>
              <w:rPr>
                <w:rFonts w:hint="eastAsia" w:ascii="仿宋" w:hAnsi="仿宋" w:eastAsia="仿宋"/>
                <w:sz w:val="18"/>
                <w:szCs w:val="18"/>
              </w:rPr>
              <w:t>④  组织考核平台企业绩效目标完成情况，计2分。</w:t>
            </w:r>
          </w:p>
        </w:tc>
        <w:tc>
          <w:tcPr>
            <w:tcW w:w="1060" w:type="dxa"/>
            <w:vMerge w:val="continue"/>
            <w:shd w:val="clear" w:color="auto" w:fill="auto"/>
            <w:vAlign w:val="center"/>
          </w:tcPr>
          <w:p w14:paraId="7D59106F">
            <w:pPr>
              <w:widowControl/>
              <w:jc w:val="left"/>
              <w:rPr>
                <w:rFonts w:ascii="仿宋" w:hAnsi="仿宋" w:eastAsia="仿宋" w:cs="宋体"/>
                <w:color w:val="000000"/>
                <w:kern w:val="0"/>
                <w:sz w:val="18"/>
                <w:szCs w:val="18"/>
              </w:rPr>
            </w:pPr>
          </w:p>
        </w:tc>
      </w:tr>
      <w:tr w14:paraId="44F91D1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26991FCB">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65FB177E">
            <w:pPr>
              <w:widowControl/>
              <w:jc w:val="left"/>
              <w:rPr>
                <w:rFonts w:ascii="仿宋" w:hAnsi="仿宋" w:eastAsia="仿宋" w:cs="宋体"/>
                <w:color w:val="000000"/>
                <w:kern w:val="0"/>
                <w:sz w:val="18"/>
                <w:szCs w:val="18"/>
              </w:rPr>
            </w:pPr>
          </w:p>
        </w:tc>
        <w:tc>
          <w:tcPr>
            <w:tcW w:w="2480" w:type="dxa"/>
            <w:vMerge w:val="restart"/>
            <w:shd w:val="clear" w:color="auto" w:fill="auto"/>
            <w:vAlign w:val="center"/>
          </w:tcPr>
          <w:p w14:paraId="3C5468CA">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社会公众满意度（4分）</w:t>
            </w:r>
          </w:p>
        </w:tc>
        <w:tc>
          <w:tcPr>
            <w:tcW w:w="3680" w:type="dxa"/>
            <w:shd w:val="clear" w:color="auto" w:fill="auto"/>
            <w:vAlign w:val="center"/>
          </w:tcPr>
          <w:p w14:paraId="001B500F">
            <w:pPr>
              <w:widowControl/>
              <w:jc w:val="left"/>
              <w:rPr>
                <w:rFonts w:ascii="仿宋" w:hAnsi="仿宋" w:eastAsia="仿宋" w:cs="宋体"/>
                <w:kern w:val="0"/>
                <w:sz w:val="18"/>
                <w:szCs w:val="18"/>
              </w:rPr>
            </w:pPr>
            <w:r>
              <w:rPr>
                <w:rFonts w:hint="eastAsia" w:ascii="仿宋" w:hAnsi="仿宋" w:eastAsia="仿宋"/>
                <w:sz w:val="18"/>
                <w:szCs w:val="18"/>
              </w:rPr>
              <w:t xml:space="preserve">①  </w:t>
            </w:r>
            <w:r>
              <w:rPr>
                <w:rFonts w:hint="eastAsia" w:ascii="仿宋" w:hAnsi="仿宋" w:eastAsia="仿宋"/>
                <w:color w:val="000000"/>
                <w:sz w:val="18"/>
                <w:szCs w:val="18"/>
              </w:rPr>
              <w:t>ACI旅客满意度测评全年平均得分达到4.7分，计4分；</w:t>
            </w:r>
          </w:p>
        </w:tc>
        <w:tc>
          <w:tcPr>
            <w:tcW w:w="1060" w:type="dxa"/>
            <w:vMerge w:val="restart"/>
            <w:shd w:val="clear" w:color="auto" w:fill="auto"/>
            <w:noWrap/>
            <w:vAlign w:val="center"/>
          </w:tcPr>
          <w:p w14:paraId="37456F60">
            <w:pPr>
              <w:widowControl/>
              <w:jc w:val="center"/>
              <w:rPr>
                <w:rFonts w:ascii="仿宋" w:hAnsi="仿宋" w:eastAsia="仿宋" w:cs="宋体"/>
                <w:kern w:val="0"/>
                <w:sz w:val="18"/>
                <w:szCs w:val="18"/>
              </w:rPr>
            </w:pPr>
            <w:r>
              <w:rPr>
                <w:rFonts w:hint="eastAsia" w:ascii="仿宋" w:hAnsi="仿宋" w:eastAsia="仿宋"/>
                <w:sz w:val="18"/>
                <w:szCs w:val="18"/>
              </w:rPr>
              <w:t>4</w:t>
            </w:r>
          </w:p>
        </w:tc>
      </w:tr>
      <w:tr w14:paraId="5605629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vMerge w:val="continue"/>
            <w:shd w:val="clear" w:color="auto" w:fill="auto"/>
            <w:vAlign w:val="center"/>
          </w:tcPr>
          <w:p w14:paraId="15FBF4E8">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4E67ADA5">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5FE8A6D1">
            <w:pPr>
              <w:widowControl/>
              <w:jc w:val="left"/>
              <w:rPr>
                <w:rFonts w:ascii="仿宋" w:hAnsi="仿宋" w:eastAsia="仿宋" w:cs="宋体"/>
                <w:color w:val="000000"/>
                <w:kern w:val="0"/>
                <w:sz w:val="18"/>
                <w:szCs w:val="18"/>
              </w:rPr>
            </w:pPr>
          </w:p>
        </w:tc>
        <w:tc>
          <w:tcPr>
            <w:tcW w:w="3680" w:type="dxa"/>
            <w:shd w:val="clear" w:color="auto" w:fill="auto"/>
            <w:vAlign w:val="center"/>
          </w:tcPr>
          <w:p w14:paraId="2E776757">
            <w:pPr>
              <w:widowControl/>
              <w:jc w:val="left"/>
              <w:rPr>
                <w:rFonts w:ascii="仿宋" w:hAnsi="仿宋" w:eastAsia="仿宋" w:cs="宋体"/>
                <w:kern w:val="0"/>
                <w:sz w:val="18"/>
                <w:szCs w:val="18"/>
              </w:rPr>
            </w:pPr>
            <w:r>
              <w:rPr>
                <w:rFonts w:hint="eastAsia" w:ascii="仿宋" w:hAnsi="仿宋" w:eastAsia="仿宋"/>
                <w:sz w:val="18"/>
                <w:szCs w:val="18"/>
              </w:rPr>
              <w:t xml:space="preserve">②  </w:t>
            </w:r>
            <w:r>
              <w:rPr>
                <w:rFonts w:hint="eastAsia" w:ascii="仿宋" w:hAnsi="仿宋" w:eastAsia="仿宋"/>
                <w:color w:val="000000"/>
                <w:sz w:val="18"/>
                <w:szCs w:val="18"/>
              </w:rPr>
              <w:t>未达到4.7分，按</w:t>
            </w:r>
            <w:r>
              <w:rPr>
                <w:rFonts w:hint="eastAsia" w:ascii="仿宋" w:hAnsi="仿宋" w:eastAsia="仿宋"/>
                <w:sz w:val="18"/>
                <w:szCs w:val="18"/>
              </w:rPr>
              <w:t>实际得分与4.7分的比值，乘以4分计分。</w:t>
            </w:r>
          </w:p>
        </w:tc>
        <w:tc>
          <w:tcPr>
            <w:tcW w:w="1060" w:type="dxa"/>
            <w:vMerge w:val="continue"/>
            <w:shd w:val="clear" w:color="auto" w:fill="auto"/>
            <w:vAlign w:val="center"/>
          </w:tcPr>
          <w:p w14:paraId="392D279E">
            <w:pPr>
              <w:widowControl/>
              <w:jc w:val="left"/>
              <w:rPr>
                <w:rFonts w:ascii="仿宋" w:hAnsi="仿宋" w:eastAsia="仿宋" w:cs="宋体"/>
                <w:kern w:val="0"/>
                <w:sz w:val="18"/>
                <w:szCs w:val="18"/>
              </w:rPr>
            </w:pPr>
          </w:p>
        </w:tc>
      </w:tr>
      <w:tr w14:paraId="6A437AB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jc w:val="center"/>
        </w:trPr>
        <w:tc>
          <w:tcPr>
            <w:tcW w:w="1060" w:type="dxa"/>
            <w:shd w:val="clear" w:color="auto" w:fill="auto"/>
            <w:vAlign w:val="center"/>
          </w:tcPr>
          <w:p w14:paraId="4858EA20">
            <w:pPr>
              <w:widowControl/>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小计</w:t>
            </w:r>
          </w:p>
        </w:tc>
        <w:tc>
          <w:tcPr>
            <w:tcW w:w="1060" w:type="dxa"/>
            <w:shd w:val="clear" w:color="auto" w:fill="auto"/>
            <w:vAlign w:val="center"/>
          </w:tcPr>
          <w:p w14:paraId="629CB05C">
            <w:pPr>
              <w:widowControl/>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3</w:t>
            </w:r>
            <w:r>
              <w:rPr>
                <w:rFonts w:ascii="仿宋" w:hAnsi="仿宋" w:eastAsia="仿宋" w:cs="宋体"/>
                <w:b/>
                <w:color w:val="000000"/>
                <w:kern w:val="0"/>
                <w:sz w:val="18"/>
                <w:szCs w:val="18"/>
              </w:rPr>
              <w:t>0</w:t>
            </w:r>
          </w:p>
        </w:tc>
        <w:tc>
          <w:tcPr>
            <w:tcW w:w="2480" w:type="dxa"/>
            <w:shd w:val="clear" w:color="auto" w:fill="auto"/>
            <w:vAlign w:val="center"/>
          </w:tcPr>
          <w:p w14:paraId="2BB6F52D">
            <w:pPr>
              <w:widowControl/>
              <w:jc w:val="center"/>
              <w:rPr>
                <w:rFonts w:ascii="仿宋" w:hAnsi="仿宋" w:eastAsia="仿宋" w:cs="宋体"/>
                <w:b/>
                <w:color w:val="000000"/>
                <w:kern w:val="0"/>
                <w:sz w:val="18"/>
                <w:szCs w:val="18"/>
              </w:rPr>
            </w:pPr>
            <w:r>
              <w:rPr>
                <w:rFonts w:hint="eastAsia" w:ascii="仿宋" w:hAnsi="仿宋" w:eastAsia="仿宋" w:cs="宋体"/>
                <w:b/>
                <w:color w:val="000000"/>
                <w:kern w:val="0"/>
                <w:sz w:val="18"/>
                <w:szCs w:val="18"/>
              </w:rPr>
              <w:t>3</w:t>
            </w:r>
            <w:r>
              <w:rPr>
                <w:rFonts w:ascii="仿宋" w:hAnsi="仿宋" w:eastAsia="仿宋" w:cs="宋体"/>
                <w:b/>
                <w:color w:val="000000"/>
                <w:kern w:val="0"/>
                <w:sz w:val="18"/>
                <w:szCs w:val="18"/>
              </w:rPr>
              <w:t>0</w:t>
            </w:r>
          </w:p>
        </w:tc>
        <w:tc>
          <w:tcPr>
            <w:tcW w:w="3680" w:type="dxa"/>
            <w:shd w:val="clear" w:color="auto" w:fill="auto"/>
            <w:vAlign w:val="center"/>
          </w:tcPr>
          <w:p w14:paraId="2E431A4F">
            <w:pPr>
              <w:widowControl/>
              <w:jc w:val="center"/>
              <w:rPr>
                <w:rFonts w:ascii="仿宋" w:hAnsi="仿宋" w:eastAsia="仿宋" w:cs="宋体"/>
                <w:b/>
                <w:kern w:val="0"/>
                <w:sz w:val="18"/>
                <w:szCs w:val="18"/>
              </w:rPr>
            </w:pPr>
            <w:r>
              <w:rPr>
                <w:rFonts w:hint="eastAsia" w:ascii="仿宋" w:hAnsi="仿宋" w:eastAsia="仿宋" w:cs="宋体"/>
                <w:b/>
                <w:kern w:val="0"/>
                <w:sz w:val="18"/>
                <w:szCs w:val="18"/>
              </w:rPr>
              <w:t>——</w:t>
            </w:r>
          </w:p>
        </w:tc>
        <w:tc>
          <w:tcPr>
            <w:tcW w:w="1060" w:type="dxa"/>
            <w:shd w:val="clear" w:color="auto" w:fill="auto"/>
            <w:vAlign w:val="center"/>
          </w:tcPr>
          <w:p w14:paraId="5761A25E">
            <w:pPr>
              <w:widowControl/>
              <w:jc w:val="center"/>
              <w:rPr>
                <w:rFonts w:ascii="仿宋" w:hAnsi="仿宋" w:eastAsia="仿宋" w:cs="宋体"/>
                <w:b/>
                <w:kern w:val="0"/>
                <w:sz w:val="18"/>
                <w:szCs w:val="18"/>
              </w:rPr>
            </w:pPr>
            <w:r>
              <w:rPr>
                <w:rFonts w:hint="eastAsia" w:ascii="仿宋" w:hAnsi="仿宋" w:eastAsia="仿宋" w:cs="宋体"/>
                <w:b/>
                <w:kern w:val="0"/>
                <w:sz w:val="18"/>
                <w:szCs w:val="18"/>
              </w:rPr>
              <w:t>3</w:t>
            </w:r>
            <w:r>
              <w:rPr>
                <w:rFonts w:ascii="仿宋" w:hAnsi="仿宋" w:eastAsia="仿宋" w:cs="宋体"/>
                <w:b/>
                <w:kern w:val="0"/>
                <w:sz w:val="18"/>
                <w:szCs w:val="18"/>
              </w:rPr>
              <w:t>0</w:t>
            </w:r>
          </w:p>
        </w:tc>
      </w:tr>
    </w:tbl>
    <w:p w14:paraId="66377860">
      <w:pPr>
        <w:pStyle w:val="35"/>
        <w:spacing w:before="156" w:after="156"/>
        <w:ind w:firstLine="480"/>
      </w:pPr>
      <w:bookmarkStart w:id="176" w:name="_Toc39760630"/>
      <w:r>
        <w:rPr>
          <w:rFonts w:hint="eastAsia"/>
        </w:rPr>
        <w:t>（1）</w:t>
      </w:r>
      <w:bookmarkEnd w:id="175"/>
      <w:r>
        <w:rPr>
          <w:rFonts w:hint="eastAsia"/>
        </w:rPr>
        <w:t>社会效益（12分）</w:t>
      </w:r>
      <w:bookmarkEnd w:id="176"/>
    </w:p>
    <w:p w14:paraId="321EE2CA">
      <w:pPr>
        <w:pStyle w:val="35"/>
        <w:spacing w:before="156" w:after="156"/>
        <w:ind w:firstLine="480"/>
      </w:pPr>
      <w:bookmarkStart w:id="177" w:name="_Toc39760631"/>
      <w:bookmarkStart w:id="178" w:name="_Toc39654331"/>
      <w:bookmarkStart w:id="179" w:name="_Toc39155005"/>
      <w:bookmarkStart w:id="180" w:name="_Toc39654337"/>
      <w:bookmarkStart w:id="181" w:name="_Toc39155011"/>
      <w:r>
        <w:rPr>
          <w:rFonts w:hint="eastAsia"/>
        </w:rPr>
        <w:t>①旅客吞吐量全国排名（6分）</w:t>
      </w:r>
      <w:bookmarkEnd w:id="177"/>
      <w:bookmarkEnd w:id="178"/>
      <w:bookmarkEnd w:id="179"/>
    </w:p>
    <w:p w14:paraId="37FCEAD5">
      <w:pPr>
        <w:pStyle w:val="35"/>
        <w:spacing w:before="156" w:after="156"/>
        <w:ind w:firstLine="480"/>
      </w:pPr>
      <w:bookmarkStart w:id="182" w:name="_Toc39155006"/>
      <w:bookmarkStart w:id="183" w:name="_Toc39654332"/>
      <w:bookmarkStart w:id="184" w:name="_Toc39760632"/>
      <w:r>
        <w:rPr>
          <w:rFonts w:hint="eastAsia"/>
        </w:rPr>
        <w:t>根据中国民用航空局官方网站公布的“2019年民航机场生产统计公报”显示，武汉天河机场2019年度旅客吞吐量全国排名为第14位；根据中国民用航空局官方网站公布的“2018年民航机场生产统计公报”显示，武汉天河机场2018年度旅客吞吐量全国排名为第</w:t>
      </w:r>
      <w:r>
        <w:t>16</w:t>
      </w:r>
      <w:r>
        <w:rPr>
          <w:rFonts w:hint="eastAsia"/>
        </w:rPr>
        <w:t>位。</w:t>
      </w:r>
      <w:bookmarkEnd w:id="182"/>
      <w:bookmarkEnd w:id="183"/>
      <w:bookmarkEnd w:id="184"/>
    </w:p>
    <w:p w14:paraId="42A735D7">
      <w:pPr>
        <w:pStyle w:val="35"/>
        <w:spacing w:before="156" w:after="156"/>
        <w:ind w:firstLine="480"/>
      </w:pPr>
      <w:bookmarkStart w:id="185" w:name="_Toc39760633"/>
      <w:bookmarkStart w:id="186" w:name="_Toc39155007"/>
      <w:bookmarkStart w:id="187" w:name="_Toc39654333"/>
      <w:r>
        <w:rPr>
          <w:rFonts w:hint="eastAsia"/>
        </w:rPr>
        <w:t>目标值为第15位，实际达到第14位，指标达到目标值。</w:t>
      </w:r>
      <w:bookmarkEnd w:id="185"/>
    </w:p>
    <w:p w14:paraId="43954A3F">
      <w:pPr>
        <w:pStyle w:val="35"/>
        <w:spacing w:before="156" w:after="156"/>
        <w:ind w:firstLine="480"/>
      </w:pPr>
      <w:bookmarkStart w:id="188" w:name="_Toc39760634"/>
      <w:r>
        <w:rPr>
          <w:rFonts w:hint="eastAsia"/>
        </w:rPr>
        <w:t>根据评分标准，</w:t>
      </w:r>
      <w:bookmarkEnd w:id="186"/>
      <w:bookmarkEnd w:id="187"/>
      <w:r>
        <w:rPr>
          <w:rFonts w:hint="eastAsia"/>
        </w:rPr>
        <w:t>该指标评价得分为6分。</w:t>
      </w:r>
      <w:bookmarkEnd w:id="188"/>
    </w:p>
    <w:p w14:paraId="76B1EB75">
      <w:pPr>
        <w:pStyle w:val="35"/>
        <w:spacing w:before="156" w:after="156"/>
        <w:ind w:firstLine="480"/>
      </w:pPr>
      <w:bookmarkStart w:id="189" w:name="_Toc39760635"/>
      <w:r>
        <w:rPr>
          <w:rFonts w:hint="eastAsia"/>
        </w:rPr>
        <w:t>②货邮吞吐量全国排名（6分）</w:t>
      </w:r>
      <w:bookmarkEnd w:id="180"/>
      <w:bookmarkEnd w:id="181"/>
      <w:bookmarkEnd w:id="189"/>
    </w:p>
    <w:p w14:paraId="76907CFE">
      <w:pPr>
        <w:pStyle w:val="35"/>
        <w:spacing w:before="156" w:after="156"/>
        <w:ind w:firstLine="480"/>
      </w:pPr>
      <w:bookmarkStart w:id="190" w:name="_Toc39155012"/>
      <w:bookmarkStart w:id="191" w:name="_Toc39654338"/>
      <w:bookmarkStart w:id="192" w:name="_Toc39760636"/>
      <w:r>
        <w:rPr>
          <w:rFonts w:hint="eastAsia"/>
        </w:rPr>
        <w:t>根据中国民用航空局官方网站公布的“2019年民航机场生产统计公报”显示，武汉天河机场2019年度货邮吞吐量全国排名为第</w:t>
      </w:r>
      <w:r>
        <w:t>15</w:t>
      </w:r>
      <w:r>
        <w:rPr>
          <w:rFonts w:hint="eastAsia"/>
        </w:rPr>
        <w:t>位；根据中国民用航空局官方网站公布的“2018年民航机场生产统计公报”显示，武汉天河机场2018年度货邮吞吐量全国排名为第</w:t>
      </w:r>
      <w:r>
        <w:t>16</w:t>
      </w:r>
      <w:r>
        <w:rPr>
          <w:rFonts w:hint="eastAsia"/>
        </w:rPr>
        <w:t>位。</w:t>
      </w:r>
      <w:bookmarkEnd w:id="190"/>
      <w:bookmarkEnd w:id="191"/>
      <w:bookmarkEnd w:id="192"/>
    </w:p>
    <w:p w14:paraId="18CD8769">
      <w:pPr>
        <w:pStyle w:val="35"/>
        <w:spacing w:before="156" w:after="156"/>
        <w:ind w:firstLine="480"/>
      </w:pPr>
      <w:bookmarkStart w:id="193" w:name="_Toc39760637"/>
      <w:bookmarkStart w:id="194" w:name="_Toc39155013"/>
      <w:bookmarkStart w:id="195" w:name="_Toc39654339"/>
      <w:r>
        <w:rPr>
          <w:rFonts w:hint="eastAsia"/>
        </w:rPr>
        <w:t>目标值为第15位，实际达到第15位，指标达到目标值。</w:t>
      </w:r>
      <w:bookmarkEnd w:id="193"/>
    </w:p>
    <w:p w14:paraId="59FC6147">
      <w:pPr>
        <w:pStyle w:val="35"/>
        <w:spacing w:before="156" w:after="156"/>
        <w:ind w:firstLine="480"/>
      </w:pPr>
      <w:bookmarkStart w:id="196" w:name="_Toc39760638"/>
      <w:r>
        <w:rPr>
          <w:rFonts w:hint="eastAsia"/>
        </w:rPr>
        <w:t>根据评分标准，</w:t>
      </w:r>
      <w:bookmarkEnd w:id="194"/>
      <w:bookmarkEnd w:id="195"/>
      <w:r>
        <w:rPr>
          <w:rFonts w:hint="eastAsia"/>
        </w:rPr>
        <w:t>该指标评价得分为6分。</w:t>
      </w:r>
      <w:bookmarkEnd w:id="196"/>
    </w:p>
    <w:p w14:paraId="39D35664">
      <w:pPr>
        <w:pStyle w:val="35"/>
        <w:spacing w:before="156" w:after="156"/>
        <w:ind w:firstLine="480"/>
      </w:pPr>
      <w:bookmarkStart w:id="197" w:name="_Toc513580589"/>
      <w:bookmarkStart w:id="198" w:name="_Toc39760639"/>
      <w:r>
        <w:rPr>
          <w:rFonts w:hint="eastAsia"/>
        </w:rPr>
        <w:t>（2）经济效益</w:t>
      </w:r>
      <w:bookmarkEnd w:id="197"/>
      <w:r>
        <w:rPr>
          <w:rFonts w:hint="eastAsia"/>
        </w:rPr>
        <w:t>（6分）</w:t>
      </w:r>
      <w:bookmarkEnd w:id="198"/>
    </w:p>
    <w:p w14:paraId="37122DB8">
      <w:pPr>
        <w:pStyle w:val="35"/>
        <w:spacing w:before="156" w:after="156"/>
        <w:ind w:firstLine="480"/>
      </w:pPr>
      <w:bookmarkStart w:id="199" w:name="_Toc39760640"/>
      <w:bookmarkStart w:id="200" w:name="_Toc513580590"/>
      <w:r>
        <w:rPr>
          <w:rFonts w:hint="eastAsia"/>
        </w:rPr>
        <w:t>平台资金带动系数</w:t>
      </w:r>
      <w:bookmarkEnd w:id="199"/>
      <w:r>
        <w:rPr>
          <w:rFonts w:hint="eastAsia"/>
        </w:rPr>
        <w:t>=（平台企业配比出资+优惠减免各类运营收费+开展民航市场推广费用）/政府投入专项资金×100%</w:t>
      </w:r>
    </w:p>
    <w:bookmarkEnd w:id="200"/>
    <w:p w14:paraId="1C267EC5">
      <w:pPr>
        <w:pStyle w:val="35"/>
        <w:spacing w:before="156" w:after="156"/>
        <w:ind w:firstLine="480"/>
        <w:rPr>
          <w:rFonts w:hAnsi="宋体"/>
        </w:rPr>
      </w:pPr>
      <w:r>
        <w:rPr>
          <w:rFonts w:hint="eastAsia"/>
        </w:rPr>
        <w:t>根据机场公司提供的情况说明反映：省政府与首都机场集团公司签订了重组协议（涉密），首都机场集团将武汉天河机场51%的股权及其他资产转让给湖北省国资委，湖北省国资委重组湖北机场集团，确定武汉天河机场有限责任公司与湖北机场集团有限公司（以下简称机场集团）为同一主体。据此将机场公司全资子公司湖北空港航空地面服务有限公司（以下简称地服公司）和湖北机场集团全资子公司湖北机场集团航空物流有限公司（以下简称物流公司）对航线运营收费优惠减免金额纳入平台企业配比出资指标。机场公司和地服公司、物流公司各类航线运营收费优惠减免如下：</w:t>
      </w:r>
    </w:p>
    <w:p w14:paraId="44CFD989">
      <w:pPr>
        <w:pStyle w:val="35"/>
        <w:spacing w:before="156" w:after="156"/>
        <w:ind w:firstLine="480"/>
      </w:pPr>
      <w:r>
        <w:rPr>
          <w:rFonts w:hint="eastAsia" w:ascii="宋体" w:hAnsi="宋体"/>
        </w:rPr>
        <w:t>①</w:t>
      </w:r>
      <w:r>
        <w:rPr>
          <w:rFonts w:hint="eastAsia"/>
        </w:rPr>
        <w:t>根据机场公司提供2019年度“航线运营费用优惠减免明细表”、相关单位优惠减免申请及其批示文件、优惠航线基础信息以及民航局 发改委《民用机场收费改革实施方案》（民航发[2007]159号）、民航局《关于印发民用机场收费标准调整方案的通知》（民航发[2017]18号），文件明确相关收费标准，从基础信息中获取标准中涉及的原始数据（如：飞机最大起飞全重、每趟航班旅客人数等）；核查机场收入结算系统（ACMS）获取直接扣减优惠后的实收运营费用，依据收费标准还原应收运营费用，重新测算航线运营（直接扣减）优惠金额</w:t>
      </w:r>
      <w:r>
        <w:t>168</w:t>
      </w:r>
      <w:r>
        <w:rPr>
          <w:rFonts w:hint="eastAsia"/>
        </w:rPr>
        <w:t>.</w:t>
      </w:r>
      <w:r>
        <w:t>9</w:t>
      </w:r>
      <w:r>
        <w:rPr>
          <w:rFonts w:hint="eastAsia"/>
        </w:rPr>
        <w:t>4万元；查阅事后减免优惠申请资料及相关减免会计凭证，核实航线运营（事后减免）优惠金额</w:t>
      </w:r>
      <w:r>
        <w:t>898</w:t>
      </w:r>
      <w:r>
        <w:rPr>
          <w:rFonts w:hint="eastAsia"/>
        </w:rPr>
        <w:t>.</w:t>
      </w:r>
      <w:r>
        <w:t>50</w:t>
      </w:r>
      <w:r>
        <w:rPr>
          <w:rFonts w:hint="eastAsia"/>
        </w:rPr>
        <w:t>万元；</w:t>
      </w:r>
    </w:p>
    <w:p w14:paraId="24B646F4">
      <w:pPr>
        <w:pStyle w:val="35"/>
        <w:spacing w:before="156" w:after="156"/>
        <w:ind w:firstLine="480"/>
        <w:rPr>
          <w:rFonts w:hAnsi="宋体"/>
        </w:rPr>
      </w:pPr>
      <w:r>
        <w:rPr>
          <w:rFonts w:hint="eastAsia" w:ascii="仿宋" w:hAnsi="仿宋" w:eastAsia="仿宋"/>
        </w:rPr>
        <w:t>②</w:t>
      </w:r>
      <w:r>
        <w:rPr>
          <w:rFonts w:hint="eastAsia" w:hAnsi="宋体"/>
        </w:rPr>
        <w:t>根据地服公司、物流公司提供优惠明细表、优惠协议、会议纪要、进/出港航班货邮数量、实际收费相关财务凭证以及民航总局《关于调整对外地面服务收费标准的通知》（民航总局发[1994]128号）文件中明确的相关收费标准，从基础信息中</w:t>
      </w:r>
      <w:r>
        <w:rPr>
          <w:rFonts w:hint="eastAsia"/>
        </w:rPr>
        <w:t>获取标准中涉及的原始数据（如：飞机机型、航班起降架次</w:t>
      </w:r>
      <w:r>
        <w:rPr>
          <w:rFonts w:hint="eastAsia" w:hAnsi="宋体"/>
        </w:rPr>
        <w:t>、进/出港航班货邮数量</w:t>
      </w:r>
      <w:r>
        <w:rPr>
          <w:rFonts w:hint="eastAsia"/>
        </w:rPr>
        <w:t>等）；依据收费标准与两家公司实际收费情况</w:t>
      </w:r>
      <w:r>
        <w:rPr>
          <w:rFonts w:hint="eastAsia" w:hAnsi="宋体"/>
        </w:rPr>
        <w:t>，</w:t>
      </w:r>
      <w:r>
        <w:rPr>
          <w:rFonts w:hint="eastAsia"/>
        </w:rPr>
        <w:t>逐项核查相关优惠金额，</w:t>
      </w:r>
      <w:r>
        <w:rPr>
          <w:rFonts w:hint="eastAsia" w:hAnsi="宋体"/>
        </w:rPr>
        <w:t>确定地服公司地面服务等优惠金额</w:t>
      </w:r>
      <w:r>
        <w:rPr>
          <w:rFonts w:hAnsi="宋体"/>
        </w:rPr>
        <w:t>879</w:t>
      </w:r>
      <w:r>
        <w:rPr>
          <w:rFonts w:hint="eastAsia" w:hAnsi="宋体"/>
        </w:rPr>
        <w:t>.</w:t>
      </w:r>
      <w:r>
        <w:rPr>
          <w:rFonts w:hAnsi="宋体"/>
        </w:rPr>
        <w:t>52</w:t>
      </w:r>
      <w:r>
        <w:rPr>
          <w:rFonts w:hint="eastAsia" w:hAnsi="宋体"/>
        </w:rPr>
        <w:t>万元，物流公司地面服务等优惠金额</w:t>
      </w:r>
      <w:r>
        <w:rPr>
          <w:rFonts w:hAnsi="宋体"/>
        </w:rPr>
        <w:t>1,155</w:t>
      </w:r>
      <w:r>
        <w:rPr>
          <w:rFonts w:hint="eastAsia" w:hAnsi="宋体"/>
        </w:rPr>
        <w:t>.</w:t>
      </w:r>
      <w:r>
        <w:rPr>
          <w:rFonts w:hAnsi="宋体"/>
        </w:rPr>
        <w:t>6</w:t>
      </w:r>
      <w:r>
        <w:rPr>
          <w:rFonts w:hint="eastAsia" w:hAnsi="宋体"/>
        </w:rPr>
        <w:t>5万元、物流公司口岸服务优惠金额</w:t>
      </w:r>
      <w:r>
        <w:rPr>
          <w:rFonts w:hAnsi="宋体"/>
        </w:rPr>
        <w:t>991</w:t>
      </w:r>
      <w:r>
        <w:rPr>
          <w:rFonts w:hint="eastAsia" w:hAnsi="宋体"/>
        </w:rPr>
        <w:t>.</w:t>
      </w:r>
      <w:r>
        <w:rPr>
          <w:rFonts w:hAnsi="宋体"/>
        </w:rPr>
        <w:t>74</w:t>
      </w:r>
      <w:r>
        <w:rPr>
          <w:rFonts w:hint="eastAsia" w:hAnsi="宋体"/>
        </w:rPr>
        <w:t>万元；</w:t>
      </w:r>
    </w:p>
    <w:p w14:paraId="683402AC">
      <w:pPr>
        <w:pStyle w:val="35"/>
        <w:spacing w:before="156" w:after="156"/>
        <w:ind w:firstLine="480"/>
      </w:pPr>
      <w:r>
        <w:rPr>
          <w:rFonts w:hint="eastAsia" w:hAnsi="宋体"/>
        </w:rPr>
        <w:t>汇总航空运营、地面服务、口岸服务等各类项目优惠金额，</w:t>
      </w:r>
      <w:r>
        <w:rPr>
          <w:rFonts w:hint="eastAsia"/>
        </w:rPr>
        <w:t>确定2019年度天河机场各类运营收费优惠减免金额</w:t>
      </w:r>
      <w:r>
        <w:rPr>
          <w:rFonts w:hAnsi="宋体"/>
        </w:rPr>
        <w:t>4,094</w:t>
      </w:r>
      <w:r>
        <w:rPr>
          <w:rFonts w:hint="eastAsia" w:hAnsi="宋体"/>
        </w:rPr>
        <w:t>.</w:t>
      </w:r>
      <w:r>
        <w:rPr>
          <w:rFonts w:hAnsi="宋体"/>
        </w:rPr>
        <w:t>3</w:t>
      </w:r>
      <w:r>
        <w:rPr>
          <w:rFonts w:hint="eastAsia" w:hAnsi="宋体"/>
        </w:rPr>
        <w:t>6万元</w:t>
      </w:r>
      <w:r>
        <w:rPr>
          <w:rFonts w:hint="eastAsia"/>
        </w:rPr>
        <w:t>，2019年度实际收到航空专项资金134,539万元，占比为</w:t>
      </w:r>
      <w:r>
        <w:t>3.04%</w:t>
      </w:r>
      <w:r>
        <w:rPr>
          <w:rFonts w:hint="eastAsia"/>
        </w:rPr>
        <w:t>。</w:t>
      </w:r>
    </w:p>
    <w:p w14:paraId="5A745387">
      <w:pPr>
        <w:pStyle w:val="35"/>
        <w:spacing w:before="156" w:after="156"/>
        <w:ind w:firstLine="480"/>
      </w:pPr>
      <w:bookmarkStart w:id="201" w:name="_Toc39760642"/>
      <w:bookmarkStart w:id="202" w:name="_Toc39155049"/>
      <w:bookmarkStart w:id="203" w:name="_Toc39654375"/>
      <w:r>
        <w:rPr>
          <w:rFonts w:hint="eastAsia"/>
        </w:rPr>
        <w:t>目标值为3%，实际完成</w:t>
      </w:r>
      <w:r>
        <w:t>3.04%，</w:t>
      </w:r>
      <w:r>
        <w:rPr>
          <w:rFonts w:hint="eastAsia"/>
        </w:rPr>
        <w:t>指标达到目标值。</w:t>
      </w:r>
      <w:bookmarkEnd w:id="201"/>
    </w:p>
    <w:p w14:paraId="1184194D">
      <w:pPr>
        <w:pStyle w:val="35"/>
        <w:spacing w:before="156" w:after="156"/>
        <w:ind w:firstLine="480"/>
      </w:pPr>
      <w:bookmarkStart w:id="204" w:name="_Toc39760643"/>
      <w:r>
        <w:rPr>
          <w:rFonts w:hint="eastAsia"/>
        </w:rPr>
        <w:t>根据评分标准，该指标评价得分为6分。</w:t>
      </w:r>
      <w:bookmarkEnd w:id="202"/>
      <w:bookmarkEnd w:id="203"/>
      <w:bookmarkEnd w:id="204"/>
    </w:p>
    <w:p w14:paraId="5E28C0E9">
      <w:pPr>
        <w:pStyle w:val="35"/>
        <w:spacing w:before="156" w:after="156"/>
        <w:ind w:firstLine="480"/>
      </w:pPr>
      <w:bookmarkStart w:id="205" w:name="_Toc513580592"/>
      <w:bookmarkStart w:id="206" w:name="_Toc39760644"/>
      <w:r>
        <w:rPr>
          <w:rFonts w:hint="eastAsia"/>
        </w:rPr>
        <w:t>（3）</w:t>
      </w:r>
      <w:bookmarkEnd w:id="205"/>
      <w:r>
        <w:rPr>
          <w:rFonts w:hint="eastAsia"/>
        </w:rPr>
        <w:t>实施效益（12分）</w:t>
      </w:r>
      <w:bookmarkEnd w:id="206"/>
    </w:p>
    <w:p w14:paraId="34905417">
      <w:pPr>
        <w:pStyle w:val="35"/>
        <w:spacing w:before="156" w:after="156"/>
        <w:ind w:firstLine="480"/>
      </w:pPr>
      <w:bookmarkStart w:id="207" w:name="_Toc39760645"/>
      <w:bookmarkStart w:id="208" w:name="_Toc513580598"/>
      <w:bookmarkStart w:id="209" w:name="_Toc39155055"/>
      <w:bookmarkStart w:id="210" w:name="_Toc39654381"/>
      <w:r>
        <w:rPr>
          <w:rFonts w:hint="eastAsia"/>
        </w:rPr>
        <w:t>①可持续影响（8分）</w:t>
      </w:r>
      <w:bookmarkEnd w:id="207"/>
    </w:p>
    <w:p w14:paraId="51F41206">
      <w:pPr>
        <w:pStyle w:val="35"/>
        <w:spacing w:before="156" w:after="156"/>
        <w:ind w:firstLine="480"/>
      </w:pPr>
      <w:bookmarkStart w:id="211" w:name="_Toc39760646"/>
      <w:r>
        <w:rPr>
          <w:rFonts w:hint="eastAsia"/>
        </w:rPr>
        <w:t>通过查阅《湖北省十三五民用航空发展及中长期机场建设规划》、《武汉市综合交通体系三年攻坚实施方案（2018-2020年）》、《省客集团“武汉天河机场旅客班车公交化项目”方案》等相关文件资料。</w:t>
      </w:r>
      <w:bookmarkEnd w:id="211"/>
    </w:p>
    <w:p w14:paraId="363497A2">
      <w:pPr>
        <w:pStyle w:val="35"/>
        <w:spacing w:before="156" w:after="156"/>
        <w:ind w:firstLine="480"/>
      </w:pPr>
      <w:bookmarkStart w:id="212" w:name="_Toc39760647"/>
      <w:r>
        <w:rPr>
          <w:rFonts w:hint="eastAsia"/>
        </w:rPr>
        <w:t>我们认为，项目建立了天河机场货运物流长期规划；持续推动“武汉天河机场旅客班车公交化”项目，并于2020年6月1日正式开通上线运行；市交通运输局组织实施了新的《武汉航空发展引导专项资金管理办法》；组织考核了平台企业绩效目标完成情况。</w:t>
      </w:r>
      <w:bookmarkEnd w:id="212"/>
    </w:p>
    <w:p w14:paraId="151FA582">
      <w:pPr>
        <w:pStyle w:val="35"/>
        <w:spacing w:before="156" w:after="156"/>
        <w:ind w:firstLine="480"/>
      </w:pPr>
      <w:bookmarkStart w:id="213" w:name="_Toc39760648"/>
      <w:r>
        <w:rPr>
          <w:rFonts w:hint="eastAsia"/>
        </w:rPr>
        <w:t>根据评分标准，该指标评价得分为8分。</w:t>
      </w:r>
      <w:bookmarkEnd w:id="213"/>
    </w:p>
    <w:p w14:paraId="66F7232F">
      <w:pPr>
        <w:pStyle w:val="35"/>
        <w:spacing w:before="156" w:after="156"/>
        <w:ind w:firstLine="480"/>
      </w:pPr>
      <w:bookmarkStart w:id="214" w:name="_Toc39760649"/>
      <w:r>
        <w:rPr>
          <w:rFonts w:hint="eastAsia"/>
        </w:rPr>
        <w:t>②社会公众满意度（4分）</w:t>
      </w:r>
      <w:bookmarkEnd w:id="214"/>
    </w:p>
    <w:p w14:paraId="37829262">
      <w:pPr>
        <w:pStyle w:val="35"/>
        <w:spacing w:before="156" w:after="156"/>
        <w:ind w:firstLine="480"/>
      </w:pPr>
      <w:bookmarkStart w:id="215" w:name="_Toc39760650"/>
      <w:r>
        <w:rPr>
          <w:rFonts w:hint="eastAsia"/>
        </w:rPr>
        <w:t>通过查阅ACI（国际机场协会）/ASQ（机场服务质量）调查各季度得分，计算ACI（国际机场协会）/ASQ（机场服务质量）调查全年平均得分为4.94分。</w:t>
      </w:r>
      <w:bookmarkEnd w:id="215"/>
    </w:p>
    <w:p w14:paraId="579B73E7">
      <w:pPr>
        <w:pStyle w:val="35"/>
        <w:spacing w:before="156" w:after="156"/>
        <w:ind w:firstLine="480"/>
      </w:pPr>
      <w:bookmarkStart w:id="216" w:name="_Toc39760651"/>
      <w:r>
        <w:rPr>
          <w:rFonts w:hint="eastAsia"/>
        </w:rPr>
        <w:t>目标值为4.7分，实际完成4.94分，指标达到目标值。</w:t>
      </w:r>
      <w:bookmarkEnd w:id="216"/>
    </w:p>
    <w:p w14:paraId="131CAFDE">
      <w:pPr>
        <w:pStyle w:val="35"/>
        <w:spacing w:before="156" w:after="156"/>
        <w:ind w:firstLine="480"/>
      </w:pPr>
      <w:bookmarkStart w:id="217" w:name="_Toc39760652"/>
      <w:r>
        <w:rPr>
          <w:rFonts w:hint="eastAsia"/>
        </w:rPr>
        <w:t>根据评分标准，该指标评价得分为4分。</w:t>
      </w:r>
      <w:bookmarkEnd w:id="217"/>
    </w:p>
    <w:bookmarkEnd w:id="208"/>
    <w:bookmarkEnd w:id="209"/>
    <w:bookmarkEnd w:id="210"/>
    <w:p w14:paraId="0C9E8ED0">
      <w:pPr>
        <w:pStyle w:val="17"/>
        <w:ind w:firstLine="482"/>
      </w:pPr>
      <w:bookmarkStart w:id="218" w:name="_Toc39935957"/>
      <w:r>
        <w:rPr>
          <w:rFonts w:hint="eastAsia"/>
        </w:rPr>
        <w:t>（二）评价结论</w:t>
      </w:r>
      <w:bookmarkEnd w:id="218"/>
    </w:p>
    <w:p w14:paraId="1FD87054">
      <w:pPr>
        <w:pStyle w:val="35"/>
        <w:spacing w:before="156" w:after="156"/>
        <w:ind w:firstLine="480"/>
      </w:pPr>
      <w:bookmarkStart w:id="219" w:name="_Toc513580601"/>
      <w:bookmarkStart w:id="220" w:name="_Toc39760656"/>
      <w:r>
        <w:rPr>
          <w:rFonts w:hint="eastAsia"/>
        </w:rPr>
        <w:t>1.评分结果</w:t>
      </w:r>
      <w:bookmarkEnd w:id="219"/>
      <w:bookmarkEnd w:id="220"/>
    </w:p>
    <w:tbl>
      <w:tblPr>
        <w:tblStyle w:val="19"/>
        <w:tblW w:w="8222" w:type="dxa"/>
        <w:tblInd w:w="250" w:type="dxa"/>
        <w:tblBorders>
          <w:top w:val="double" w:color="auto" w:sz="4" w:space="0"/>
          <w:left w:val="none" w:color="auto" w:sz="0" w:space="0"/>
          <w:bottom w:val="double" w:color="auto" w:sz="4"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276"/>
        <w:gridCol w:w="1276"/>
        <w:gridCol w:w="1275"/>
        <w:gridCol w:w="1276"/>
        <w:gridCol w:w="3119"/>
      </w:tblGrid>
      <w:tr w14:paraId="0BA9C9A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0" w:hRule="exact"/>
          <w:tblHeader/>
        </w:trPr>
        <w:tc>
          <w:tcPr>
            <w:tcW w:w="1276" w:type="dxa"/>
            <w:shd w:val="clear" w:color="auto" w:fill="auto"/>
            <w:vAlign w:val="center"/>
          </w:tcPr>
          <w:p w14:paraId="571E3B72">
            <w:pPr>
              <w:widowControl/>
              <w:ind w:right="42" w:rightChars="20"/>
              <w:jc w:val="center"/>
              <w:rPr>
                <w:b/>
                <w:kern w:val="0"/>
                <w:sz w:val="20"/>
                <w:szCs w:val="20"/>
              </w:rPr>
            </w:pPr>
            <w:r>
              <w:rPr>
                <w:rFonts w:hAnsi="宋体"/>
                <w:b/>
                <w:kern w:val="0"/>
                <w:sz w:val="20"/>
                <w:szCs w:val="20"/>
              </w:rPr>
              <w:t>评价指标</w:t>
            </w:r>
          </w:p>
        </w:tc>
        <w:tc>
          <w:tcPr>
            <w:tcW w:w="1276" w:type="dxa"/>
            <w:shd w:val="clear" w:color="auto" w:fill="auto"/>
            <w:vAlign w:val="center"/>
          </w:tcPr>
          <w:p w14:paraId="5A81038D">
            <w:pPr>
              <w:widowControl/>
              <w:ind w:right="42" w:rightChars="20"/>
              <w:jc w:val="center"/>
              <w:rPr>
                <w:b/>
                <w:kern w:val="0"/>
                <w:sz w:val="20"/>
                <w:szCs w:val="20"/>
              </w:rPr>
            </w:pPr>
            <w:r>
              <w:rPr>
                <w:rFonts w:hint="eastAsia" w:hAnsi="宋体"/>
                <w:b/>
                <w:kern w:val="0"/>
                <w:sz w:val="20"/>
                <w:szCs w:val="20"/>
              </w:rPr>
              <w:t>指标</w:t>
            </w:r>
            <w:r>
              <w:rPr>
                <w:rFonts w:hAnsi="宋体"/>
                <w:b/>
                <w:kern w:val="0"/>
                <w:sz w:val="20"/>
                <w:szCs w:val="20"/>
              </w:rPr>
              <w:t>权重</w:t>
            </w:r>
          </w:p>
        </w:tc>
        <w:tc>
          <w:tcPr>
            <w:tcW w:w="1275" w:type="dxa"/>
            <w:shd w:val="clear" w:color="auto" w:fill="auto"/>
            <w:vAlign w:val="center"/>
          </w:tcPr>
          <w:p w14:paraId="71B1787B">
            <w:pPr>
              <w:widowControl/>
              <w:ind w:right="42" w:rightChars="20"/>
              <w:jc w:val="center"/>
              <w:rPr>
                <w:b/>
                <w:kern w:val="0"/>
                <w:sz w:val="20"/>
                <w:szCs w:val="20"/>
              </w:rPr>
            </w:pPr>
            <w:r>
              <w:rPr>
                <w:rFonts w:hint="eastAsia" w:hAnsi="宋体"/>
                <w:b/>
                <w:kern w:val="0"/>
                <w:sz w:val="20"/>
                <w:szCs w:val="20"/>
              </w:rPr>
              <w:t>基准</w:t>
            </w:r>
            <w:r>
              <w:rPr>
                <w:rFonts w:hAnsi="宋体"/>
                <w:b/>
                <w:kern w:val="0"/>
                <w:sz w:val="20"/>
                <w:szCs w:val="20"/>
              </w:rPr>
              <w:t>分值</w:t>
            </w:r>
          </w:p>
        </w:tc>
        <w:tc>
          <w:tcPr>
            <w:tcW w:w="1276" w:type="dxa"/>
            <w:shd w:val="clear" w:color="auto" w:fill="auto"/>
            <w:vAlign w:val="center"/>
          </w:tcPr>
          <w:p w14:paraId="0409A85E">
            <w:pPr>
              <w:widowControl/>
              <w:ind w:right="42" w:rightChars="20"/>
              <w:jc w:val="center"/>
              <w:rPr>
                <w:b/>
                <w:kern w:val="0"/>
                <w:sz w:val="20"/>
                <w:szCs w:val="20"/>
              </w:rPr>
            </w:pPr>
            <w:r>
              <w:rPr>
                <w:rFonts w:hint="eastAsia" w:hAnsi="宋体"/>
                <w:b/>
                <w:kern w:val="0"/>
                <w:sz w:val="20"/>
                <w:szCs w:val="20"/>
              </w:rPr>
              <w:t>评价</w:t>
            </w:r>
            <w:r>
              <w:rPr>
                <w:rFonts w:hAnsi="宋体"/>
                <w:b/>
                <w:kern w:val="0"/>
                <w:sz w:val="20"/>
                <w:szCs w:val="20"/>
              </w:rPr>
              <w:t>得分</w:t>
            </w:r>
          </w:p>
        </w:tc>
        <w:tc>
          <w:tcPr>
            <w:tcW w:w="3119" w:type="dxa"/>
            <w:shd w:val="clear" w:color="auto" w:fill="auto"/>
            <w:vAlign w:val="center"/>
          </w:tcPr>
          <w:p w14:paraId="7FCF34BC">
            <w:pPr>
              <w:widowControl/>
              <w:ind w:right="42" w:rightChars="20"/>
              <w:jc w:val="center"/>
              <w:rPr>
                <w:rFonts w:hAnsi="宋体"/>
                <w:b/>
                <w:kern w:val="0"/>
                <w:sz w:val="20"/>
                <w:szCs w:val="20"/>
              </w:rPr>
            </w:pPr>
            <w:r>
              <w:rPr>
                <w:rFonts w:hint="eastAsia" w:hAnsi="宋体"/>
                <w:b/>
                <w:kern w:val="0"/>
                <w:sz w:val="20"/>
                <w:szCs w:val="20"/>
              </w:rPr>
              <w:t>主要扣分原因</w:t>
            </w:r>
          </w:p>
        </w:tc>
      </w:tr>
      <w:tr w14:paraId="1020AC7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0" w:hRule="exact"/>
        </w:trPr>
        <w:tc>
          <w:tcPr>
            <w:tcW w:w="1276" w:type="dxa"/>
            <w:shd w:val="clear" w:color="auto" w:fill="auto"/>
            <w:vAlign w:val="center"/>
          </w:tcPr>
          <w:p w14:paraId="06CE9075">
            <w:pPr>
              <w:widowControl/>
              <w:ind w:right="42" w:rightChars="20"/>
              <w:jc w:val="center"/>
              <w:rPr>
                <w:kern w:val="0"/>
                <w:sz w:val="20"/>
                <w:szCs w:val="20"/>
              </w:rPr>
            </w:pPr>
            <w:r>
              <w:rPr>
                <w:rFonts w:hint="eastAsia" w:hAnsi="宋体"/>
                <w:kern w:val="0"/>
                <w:sz w:val="20"/>
                <w:szCs w:val="20"/>
              </w:rPr>
              <w:t>决策</w:t>
            </w:r>
          </w:p>
        </w:tc>
        <w:tc>
          <w:tcPr>
            <w:tcW w:w="1276" w:type="dxa"/>
            <w:shd w:val="clear" w:color="auto" w:fill="auto"/>
            <w:vAlign w:val="center"/>
          </w:tcPr>
          <w:p w14:paraId="1C00BA50">
            <w:pPr>
              <w:widowControl/>
              <w:ind w:right="42" w:rightChars="20"/>
              <w:jc w:val="center"/>
              <w:rPr>
                <w:kern w:val="0"/>
                <w:sz w:val="20"/>
                <w:szCs w:val="20"/>
              </w:rPr>
            </w:pPr>
            <w:r>
              <w:rPr>
                <w:kern w:val="0"/>
                <w:sz w:val="20"/>
                <w:szCs w:val="20"/>
              </w:rPr>
              <w:t>1</w:t>
            </w:r>
            <w:r>
              <w:rPr>
                <w:rFonts w:hint="eastAsia"/>
                <w:kern w:val="0"/>
                <w:sz w:val="20"/>
                <w:szCs w:val="20"/>
              </w:rPr>
              <w:t>2</w:t>
            </w:r>
            <w:r>
              <w:rPr>
                <w:kern w:val="0"/>
                <w:sz w:val="20"/>
                <w:szCs w:val="20"/>
              </w:rPr>
              <w:t>%</w:t>
            </w:r>
          </w:p>
        </w:tc>
        <w:tc>
          <w:tcPr>
            <w:tcW w:w="1275" w:type="dxa"/>
            <w:shd w:val="clear" w:color="auto" w:fill="auto"/>
            <w:vAlign w:val="center"/>
          </w:tcPr>
          <w:p w14:paraId="0F24CC05">
            <w:pPr>
              <w:widowControl/>
              <w:ind w:right="42" w:rightChars="20"/>
              <w:jc w:val="center"/>
              <w:rPr>
                <w:kern w:val="0"/>
                <w:sz w:val="20"/>
                <w:szCs w:val="20"/>
              </w:rPr>
            </w:pPr>
            <w:r>
              <w:rPr>
                <w:kern w:val="0"/>
                <w:sz w:val="20"/>
                <w:szCs w:val="20"/>
              </w:rPr>
              <w:t>1</w:t>
            </w:r>
            <w:r>
              <w:rPr>
                <w:rFonts w:hint="eastAsia"/>
                <w:kern w:val="0"/>
                <w:sz w:val="20"/>
                <w:szCs w:val="20"/>
              </w:rPr>
              <w:t>2</w:t>
            </w:r>
          </w:p>
        </w:tc>
        <w:tc>
          <w:tcPr>
            <w:tcW w:w="1276" w:type="dxa"/>
            <w:shd w:val="clear" w:color="auto" w:fill="auto"/>
            <w:vAlign w:val="center"/>
          </w:tcPr>
          <w:p w14:paraId="347E42E7">
            <w:pPr>
              <w:widowControl/>
              <w:ind w:right="42" w:rightChars="20"/>
              <w:jc w:val="center"/>
              <w:rPr>
                <w:kern w:val="0"/>
                <w:sz w:val="20"/>
                <w:szCs w:val="20"/>
              </w:rPr>
            </w:pPr>
            <w:r>
              <w:rPr>
                <w:kern w:val="0"/>
                <w:sz w:val="20"/>
                <w:szCs w:val="20"/>
              </w:rPr>
              <w:t>1</w:t>
            </w:r>
            <w:r>
              <w:rPr>
                <w:rFonts w:hint="eastAsia"/>
                <w:kern w:val="0"/>
                <w:sz w:val="20"/>
                <w:szCs w:val="20"/>
              </w:rPr>
              <w:t>2</w:t>
            </w:r>
          </w:p>
        </w:tc>
        <w:tc>
          <w:tcPr>
            <w:tcW w:w="3119" w:type="dxa"/>
            <w:shd w:val="clear" w:color="auto" w:fill="auto"/>
            <w:vAlign w:val="center"/>
          </w:tcPr>
          <w:p w14:paraId="503B49BD">
            <w:pPr>
              <w:widowControl/>
              <w:ind w:right="42" w:rightChars="20"/>
              <w:jc w:val="center"/>
              <w:rPr>
                <w:rFonts w:hAnsi="宋体"/>
                <w:kern w:val="0"/>
                <w:sz w:val="20"/>
                <w:szCs w:val="20"/>
                <w:highlight w:val="yellow"/>
              </w:rPr>
            </w:pPr>
          </w:p>
        </w:tc>
      </w:tr>
      <w:tr w14:paraId="764AE41D">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0" w:hRule="exact"/>
        </w:trPr>
        <w:tc>
          <w:tcPr>
            <w:tcW w:w="1276" w:type="dxa"/>
            <w:shd w:val="clear" w:color="auto" w:fill="auto"/>
            <w:vAlign w:val="center"/>
          </w:tcPr>
          <w:p w14:paraId="41796165">
            <w:pPr>
              <w:widowControl/>
              <w:ind w:right="42" w:rightChars="20"/>
              <w:jc w:val="center"/>
              <w:rPr>
                <w:kern w:val="0"/>
                <w:sz w:val="20"/>
                <w:szCs w:val="20"/>
              </w:rPr>
            </w:pPr>
            <w:r>
              <w:rPr>
                <w:rFonts w:hAnsi="宋体"/>
                <w:kern w:val="0"/>
                <w:sz w:val="20"/>
                <w:szCs w:val="20"/>
              </w:rPr>
              <w:t>过程</w:t>
            </w:r>
          </w:p>
        </w:tc>
        <w:tc>
          <w:tcPr>
            <w:tcW w:w="1276" w:type="dxa"/>
            <w:shd w:val="clear" w:color="auto" w:fill="auto"/>
            <w:vAlign w:val="center"/>
          </w:tcPr>
          <w:p w14:paraId="6F91E297">
            <w:pPr>
              <w:widowControl/>
              <w:ind w:right="42" w:rightChars="20"/>
              <w:jc w:val="center"/>
              <w:rPr>
                <w:kern w:val="0"/>
                <w:sz w:val="20"/>
                <w:szCs w:val="20"/>
              </w:rPr>
            </w:pPr>
            <w:r>
              <w:rPr>
                <w:kern w:val="0"/>
                <w:sz w:val="20"/>
                <w:szCs w:val="20"/>
              </w:rPr>
              <w:t>2</w:t>
            </w:r>
            <w:r>
              <w:rPr>
                <w:rFonts w:hint="eastAsia"/>
                <w:kern w:val="0"/>
                <w:sz w:val="20"/>
                <w:szCs w:val="20"/>
              </w:rPr>
              <w:t>4</w:t>
            </w:r>
            <w:r>
              <w:rPr>
                <w:kern w:val="0"/>
                <w:sz w:val="20"/>
                <w:szCs w:val="20"/>
              </w:rPr>
              <w:t>%</w:t>
            </w:r>
          </w:p>
        </w:tc>
        <w:tc>
          <w:tcPr>
            <w:tcW w:w="1275" w:type="dxa"/>
            <w:shd w:val="clear" w:color="auto" w:fill="auto"/>
            <w:vAlign w:val="center"/>
          </w:tcPr>
          <w:p w14:paraId="5E375B4B">
            <w:pPr>
              <w:widowControl/>
              <w:ind w:right="42" w:rightChars="20"/>
              <w:jc w:val="center"/>
              <w:rPr>
                <w:kern w:val="0"/>
                <w:sz w:val="20"/>
                <w:szCs w:val="20"/>
              </w:rPr>
            </w:pPr>
            <w:r>
              <w:rPr>
                <w:kern w:val="0"/>
                <w:sz w:val="20"/>
                <w:szCs w:val="20"/>
              </w:rPr>
              <w:t>2</w:t>
            </w:r>
            <w:r>
              <w:rPr>
                <w:rFonts w:hint="eastAsia"/>
                <w:kern w:val="0"/>
                <w:sz w:val="20"/>
                <w:szCs w:val="20"/>
              </w:rPr>
              <w:t>4</w:t>
            </w:r>
          </w:p>
        </w:tc>
        <w:tc>
          <w:tcPr>
            <w:tcW w:w="1276" w:type="dxa"/>
            <w:shd w:val="clear" w:color="auto" w:fill="auto"/>
            <w:vAlign w:val="center"/>
          </w:tcPr>
          <w:p w14:paraId="6F3B3D02">
            <w:pPr>
              <w:widowControl/>
              <w:ind w:right="42" w:rightChars="20"/>
              <w:jc w:val="center"/>
              <w:rPr>
                <w:kern w:val="0"/>
                <w:sz w:val="20"/>
                <w:szCs w:val="20"/>
              </w:rPr>
            </w:pPr>
            <w:r>
              <w:rPr>
                <w:rFonts w:hint="eastAsia"/>
                <w:kern w:val="0"/>
                <w:sz w:val="20"/>
                <w:szCs w:val="20"/>
              </w:rPr>
              <w:t>24</w:t>
            </w:r>
          </w:p>
        </w:tc>
        <w:tc>
          <w:tcPr>
            <w:tcW w:w="3119" w:type="dxa"/>
            <w:shd w:val="clear" w:color="auto" w:fill="auto"/>
            <w:vAlign w:val="center"/>
          </w:tcPr>
          <w:p w14:paraId="2A53ADB4">
            <w:pPr>
              <w:widowControl/>
              <w:ind w:right="42" w:rightChars="20"/>
              <w:jc w:val="center"/>
              <w:rPr>
                <w:rFonts w:hAnsi="宋体"/>
                <w:kern w:val="0"/>
                <w:sz w:val="20"/>
                <w:szCs w:val="20"/>
              </w:rPr>
            </w:pPr>
          </w:p>
        </w:tc>
      </w:tr>
      <w:tr w14:paraId="4407CB9D">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PrEx>
        <w:trPr>
          <w:trHeight w:val="510" w:hRule="exact"/>
        </w:trPr>
        <w:tc>
          <w:tcPr>
            <w:tcW w:w="1276" w:type="dxa"/>
            <w:shd w:val="clear" w:color="auto" w:fill="auto"/>
            <w:vAlign w:val="center"/>
          </w:tcPr>
          <w:p w14:paraId="72533902">
            <w:pPr>
              <w:widowControl/>
              <w:ind w:right="42" w:rightChars="20"/>
              <w:jc w:val="center"/>
              <w:rPr>
                <w:kern w:val="0"/>
                <w:sz w:val="20"/>
                <w:szCs w:val="20"/>
              </w:rPr>
            </w:pPr>
            <w:r>
              <w:rPr>
                <w:rFonts w:hAnsi="宋体"/>
                <w:kern w:val="0"/>
                <w:sz w:val="20"/>
                <w:szCs w:val="20"/>
              </w:rPr>
              <w:t>产出</w:t>
            </w:r>
          </w:p>
        </w:tc>
        <w:tc>
          <w:tcPr>
            <w:tcW w:w="1276" w:type="dxa"/>
            <w:shd w:val="clear" w:color="auto" w:fill="auto"/>
            <w:vAlign w:val="center"/>
          </w:tcPr>
          <w:p w14:paraId="26AAFA1B">
            <w:pPr>
              <w:widowControl/>
              <w:ind w:right="42" w:rightChars="20"/>
              <w:jc w:val="center"/>
              <w:rPr>
                <w:kern w:val="0"/>
                <w:sz w:val="20"/>
                <w:szCs w:val="20"/>
              </w:rPr>
            </w:pPr>
            <w:r>
              <w:rPr>
                <w:rFonts w:hint="eastAsia"/>
                <w:kern w:val="0"/>
                <w:sz w:val="20"/>
                <w:szCs w:val="20"/>
              </w:rPr>
              <w:t>3</w:t>
            </w:r>
            <w:r>
              <w:rPr>
                <w:kern w:val="0"/>
                <w:sz w:val="20"/>
                <w:szCs w:val="20"/>
              </w:rPr>
              <w:t>4%</w:t>
            </w:r>
          </w:p>
        </w:tc>
        <w:tc>
          <w:tcPr>
            <w:tcW w:w="1275" w:type="dxa"/>
            <w:shd w:val="clear" w:color="auto" w:fill="auto"/>
            <w:vAlign w:val="center"/>
          </w:tcPr>
          <w:p w14:paraId="7F7DC215">
            <w:pPr>
              <w:widowControl/>
              <w:ind w:right="42" w:rightChars="20"/>
              <w:jc w:val="center"/>
              <w:rPr>
                <w:kern w:val="0"/>
                <w:sz w:val="20"/>
                <w:szCs w:val="20"/>
              </w:rPr>
            </w:pPr>
            <w:r>
              <w:rPr>
                <w:rFonts w:hint="eastAsia"/>
                <w:kern w:val="0"/>
                <w:sz w:val="20"/>
                <w:szCs w:val="20"/>
              </w:rPr>
              <w:t>3</w:t>
            </w:r>
            <w:r>
              <w:rPr>
                <w:kern w:val="0"/>
                <w:sz w:val="20"/>
                <w:szCs w:val="20"/>
              </w:rPr>
              <w:t>4</w:t>
            </w:r>
          </w:p>
        </w:tc>
        <w:tc>
          <w:tcPr>
            <w:tcW w:w="1276" w:type="dxa"/>
            <w:shd w:val="clear" w:color="auto" w:fill="auto"/>
            <w:vAlign w:val="center"/>
          </w:tcPr>
          <w:p w14:paraId="657BD989">
            <w:pPr>
              <w:widowControl/>
              <w:ind w:right="42" w:rightChars="20"/>
              <w:jc w:val="center"/>
              <w:rPr>
                <w:kern w:val="0"/>
                <w:sz w:val="20"/>
                <w:szCs w:val="20"/>
              </w:rPr>
            </w:pPr>
            <w:r>
              <w:rPr>
                <w:rFonts w:hint="eastAsia"/>
                <w:kern w:val="0"/>
                <w:sz w:val="20"/>
                <w:szCs w:val="20"/>
              </w:rPr>
              <w:t>32.91</w:t>
            </w:r>
          </w:p>
        </w:tc>
        <w:tc>
          <w:tcPr>
            <w:tcW w:w="3119" w:type="dxa"/>
            <w:shd w:val="clear" w:color="auto" w:fill="auto"/>
            <w:vAlign w:val="center"/>
          </w:tcPr>
          <w:p w14:paraId="4BC4FFCA">
            <w:pPr>
              <w:widowControl/>
              <w:ind w:right="42" w:rightChars="20"/>
              <w:jc w:val="center"/>
              <w:rPr>
                <w:rFonts w:hAnsi="宋体"/>
                <w:kern w:val="0"/>
                <w:sz w:val="20"/>
                <w:szCs w:val="20"/>
              </w:rPr>
            </w:pPr>
            <w:r>
              <w:rPr>
                <w:rFonts w:hint="eastAsia" w:hAnsi="宋体"/>
                <w:kern w:val="0"/>
                <w:sz w:val="20"/>
                <w:szCs w:val="20"/>
              </w:rPr>
              <w:t>客运、货邮中转提升不足</w:t>
            </w:r>
          </w:p>
        </w:tc>
      </w:tr>
      <w:tr w14:paraId="513933B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0" w:hRule="exact"/>
        </w:trPr>
        <w:tc>
          <w:tcPr>
            <w:tcW w:w="1276" w:type="dxa"/>
            <w:shd w:val="clear" w:color="auto" w:fill="auto"/>
            <w:vAlign w:val="center"/>
          </w:tcPr>
          <w:p w14:paraId="2029F1D2">
            <w:pPr>
              <w:widowControl/>
              <w:ind w:right="42" w:rightChars="20"/>
              <w:jc w:val="center"/>
              <w:rPr>
                <w:kern w:val="0"/>
                <w:sz w:val="20"/>
                <w:szCs w:val="20"/>
              </w:rPr>
            </w:pPr>
            <w:r>
              <w:rPr>
                <w:rFonts w:hAnsi="宋体"/>
                <w:kern w:val="0"/>
                <w:sz w:val="20"/>
                <w:szCs w:val="20"/>
              </w:rPr>
              <w:t>效</w:t>
            </w:r>
            <w:r>
              <w:rPr>
                <w:rFonts w:hint="eastAsia" w:hAnsi="宋体"/>
                <w:kern w:val="0"/>
                <w:sz w:val="20"/>
                <w:szCs w:val="20"/>
              </w:rPr>
              <w:t>益</w:t>
            </w:r>
          </w:p>
        </w:tc>
        <w:tc>
          <w:tcPr>
            <w:tcW w:w="1276" w:type="dxa"/>
            <w:shd w:val="clear" w:color="auto" w:fill="auto"/>
            <w:vAlign w:val="center"/>
          </w:tcPr>
          <w:p w14:paraId="17F48B02">
            <w:pPr>
              <w:widowControl/>
              <w:ind w:right="42" w:rightChars="20"/>
              <w:jc w:val="center"/>
              <w:rPr>
                <w:kern w:val="0"/>
                <w:sz w:val="20"/>
                <w:szCs w:val="20"/>
              </w:rPr>
            </w:pPr>
            <w:r>
              <w:rPr>
                <w:rFonts w:hint="eastAsia"/>
                <w:kern w:val="0"/>
                <w:sz w:val="20"/>
                <w:szCs w:val="20"/>
              </w:rPr>
              <w:t>3</w:t>
            </w:r>
            <w:r>
              <w:rPr>
                <w:kern w:val="0"/>
                <w:sz w:val="20"/>
                <w:szCs w:val="20"/>
              </w:rPr>
              <w:t>0%</w:t>
            </w:r>
          </w:p>
        </w:tc>
        <w:tc>
          <w:tcPr>
            <w:tcW w:w="1275" w:type="dxa"/>
            <w:shd w:val="clear" w:color="auto" w:fill="auto"/>
            <w:vAlign w:val="center"/>
          </w:tcPr>
          <w:p w14:paraId="6AD866CA">
            <w:pPr>
              <w:widowControl/>
              <w:ind w:right="42" w:rightChars="20"/>
              <w:jc w:val="center"/>
              <w:rPr>
                <w:kern w:val="0"/>
                <w:sz w:val="20"/>
                <w:szCs w:val="20"/>
              </w:rPr>
            </w:pPr>
            <w:r>
              <w:rPr>
                <w:rFonts w:hint="eastAsia"/>
                <w:kern w:val="0"/>
                <w:sz w:val="20"/>
                <w:szCs w:val="20"/>
              </w:rPr>
              <w:t>3</w:t>
            </w:r>
            <w:r>
              <w:rPr>
                <w:kern w:val="0"/>
                <w:sz w:val="20"/>
                <w:szCs w:val="20"/>
              </w:rPr>
              <w:t>0</w:t>
            </w:r>
          </w:p>
        </w:tc>
        <w:tc>
          <w:tcPr>
            <w:tcW w:w="1276" w:type="dxa"/>
            <w:shd w:val="clear" w:color="auto" w:fill="auto"/>
            <w:vAlign w:val="center"/>
          </w:tcPr>
          <w:p w14:paraId="0F150B8E">
            <w:pPr>
              <w:widowControl/>
              <w:ind w:right="42" w:rightChars="20"/>
              <w:jc w:val="center"/>
              <w:rPr>
                <w:kern w:val="0"/>
                <w:sz w:val="20"/>
                <w:szCs w:val="20"/>
              </w:rPr>
            </w:pPr>
            <w:r>
              <w:rPr>
                <w:rFonts w:hint="eastAsia"/>
                <w:kern w:val="0"/>
                <w:sz w:val="20"/>
                <w:szCs w:val="20"/>
              </w:rPr>
              <w:t>3</w:t>
            </w:r>
            <w:r>
              <w:rPr>
                <w:kern w:val="0"/>
                <w:sz w:val="20"/>
                <w:szCs w:val="20"/>
              </w:rPr>
              <w:t>0</w:t>
            </w:r>
          </w:p>
        </w:tc>
        <w:tc>
          <w:tcPr>
            <w:tcW w:w="3119" w:type="dxa"/>
            <w:shd w:val="clear" w:color="auto" w:fill="auto"/>
            <w:vAlign w:val="center"/>
          </w:tcPr>
          <w:p w14:paraId="011ED924">
            <w:pPr>
              <w:widowControl/>
              <w:ind w:right="42" w:rightChars="20"/>
              <w:jc w:val="center"/>
              <w:rPr>
                <w:rFonts w:hAnsi="宋体"/>
                <w:kern w:val="0"/>
                <w:sz w:val="20"/>
                <w:szCs w:val="20"/>
              </w:rPr>
            </w:pPr>
          </w:p>
        </w:tc>
      </w:tr>
      <w:tr w14:paraId="76979F8A">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0" w:hRule="exact"/>
        </w:trPr>
        <w:tc>
          <w:tcPr>
            <w:tcW w:w="1276" w:type="dxa"/>
            <w:shd w:val="clear" w:color="auto" w:fill="auto"/>
            <w:vAlign w:val="center"/>
          </w:tcPr>
          <w:p w14:paraId="12C6BF1F">
            <w:pPr>
              <w:widowControl/>
              <w:ind w:right="42" w:rightChars="20"/>
              <w:jc w:val="center"/>
              <w:rPr>
                <w:b/>
                <w:kern w:val="0"/>
                <w:sz w:val="20"/>
                <w:szCs w:val="20"/>
              </w:rPr>
            </w:pPr>
            <w:r>
              <w:rPr>
                <w:rFonts w:hAnsi="宋体"/>
                <w:b/>
                <w:kern w:val="0"/>
                <w:sz w:val="20"/>
                <w:szCs w:val="20"/>
              </w:rPr>
              <w:t>综合绩效</w:t>
            </w:r>
          </w:p>
        </w:tc>
        <w:tc>
          <w:tcPr>
            <w:tcW w:w="1276" w:type="dxa"/>
            <w:shd w:val="clear" w:color="auto" w:fill="auto"/>
            <w:vAlign w:val="center"/>
          </w:tcPr>
          <w:p w14:paraId="3C238983">
            <w:pPr>
              <w:widowControl/>
              <w:ind w:right="42" w:rightChars="20"/>
              <w:jc w:val="center"/>
              <w:rPr>
                <w:b/>
                <w:kern w:val="0"/>
                <w:sz w:val="20"/>
                <w:szCs w:val="20"/>
              </w:rPr>
            </w:pPr>
            <w:r>
              <w:rPr>
                <w:b/>
                <w:kern w:val="0"/>
                <w:sz w:val="20"/>
                <w:szCs w:val="20"/>
              </w:rPr>
              <w:t>100%</w:t>
            </w:r>
          </w:p>
        </w:tc>
        <w:tc>
          <w:tcPr>
            <w:tcW w:w="1275" w:type="dxa"/>
            <w:shd w:val="clear" w:color="auto" w:fill="auto"/>
            <w:vAlign w:val="center"/>
          </w:tcPr>
          <w:p w14:paraId="7C2A9610">
            <w:pPr>
              <w:widowControl/>
              <w:ind w:right="42" w:rightChars="20"/>
              <w:jc w:val="center"/>
              <w:rPr>
                <w:b/>
                <w:kern w:val="0"/>
                <w:sz w:val="20"/>
                <w:szCs w:val="20"/>
              </w:rPr>
            </w:pPr>
            <w:r>
              <w:rPr>
                <w:b/>
                <w:kern w:val="0"/>
                <w:sz w:val="20"/>
                <w:szCs w:val="20"/>
              </w:rPr>
              <w:t>100</w:t>
            </w:r>
          </w:p>
        </w:tc>
        <w:tc>
          <w:tcPr>
            <w:tcW w:w="1276" w:type="dxa"/>
            <w:shd w:val="clear" w:color="auto" w:fill="auto"/>
            <w:vAlign w:val="center"/>
          </w:tcPr>
          <w:p w14:paraId="52325661">
            <w:pPr>
              <w:widowControl/>
              <w:ind w:right="42" w:rightChars="20"/>
              <w:jc w:val="center"/>
              <w:rPr>
                <w:b/>
                <w:kern w:val="0"/>
                <w:sz w:val="20"/>
                <w:szCs w:val="20"/>
              </w:rPr>
            </w:pPr>
            <w:r>
              <w:rPr>
                <w:b/>
                <w:kern w:val="0"/>
                <w:sz w:val="20"/>
                <w:szCs w:val="20"/>
              </w:rPr>
              <w:t>9</w:t>
            </w:r>
            <w:r>
              <w:rPr>
                <w:rFonts w:hint="eastAsia"/>
                <w:b/>
                <w:kern w:val="0"/>
                <w:sz w:val="20"/>
                <w:szCs w:val="20"/>
              </w:rPr>
              <w:t>8</w:t>
            </w:r>
            <w:r>
              <w:rPr>
                <w:b/>
                <w:kern w:val="0"/>
                <w:sz w:val="20"/>
                <w:szCs w:val="20"/>
              </w:rPr>
              <w:t>.</w:t>
            </w:r>
            <w:r>
              <w:rPr>
                <w:rFonts w:hint="eastAsia"/>
                <w:b/>
                <w:kern w:val="0"/>
                <w:sz w:val="20"/>
                <w:szCs w:val="20"/>
              </w:rPr>
              <w:t>9</w:t>
            </w:r>
            <w:r>
              <w:rPr>
                <w:b/>
                <w:kern w:val="0"/>
                <w:sz w:val="20"/>
                <w:szCs w:val="20"/>
              </w:rPr>
              <w:t>1</w:t>
            </w:r>
          </w:p>
        </w:tc>
        <w:tc>
          <w:tcPr>
            <w:tcW w:w="3119" w:type="dxa"/>
            <w:shd w:val="clear" w:color="auto" w:fill="auto"/>
            <w:vAlign w:val="center"/>
          </w:tcPr>
          <w:p w14:paraId="434E6887">
            <w:pPr>
              <w:widowControl/>
              <w:ind w:right="42" w:rightChars="20"/>
              <w:jc w:val="center"/>
              <w:rPr>
                <w:rFonts w:hAnsi="宋体"/>
                <w:b/>
                <w:kern w:val="0"/>
                <w:sz w:val="20"/>
                <w:szCs w:val="20"/>
              </w:rPr>
            </w:pPr>
            <w:r>
              <w:rPr>
                <w:rFonts w:hint="eastAsia" w:hAnsi="宋体"/>
                <w:b/>
                <w:kern w:val="0"/>
                <w:sz w:val="20"/>
                <w:szCs w:val="20"/>
              </w:rPr>
              <w:t>优</w:t>
            </w:r>
          </w:p>
        </w:tc>
      </w:tr>
    </w:tbl>
    <w:p w14:paraId="2842F466">
      <w:pPr>
        <w:pStyle w:val="35"/>
        <w:spacing w:before="156" w:after="156"/>
        <w:ind w:firstLine="480"/>
      </w:pPr>
      <w:bookmarkStart w:id="221" w:name="_Toc39760657"/>
      <w:bookmarkStart w:id="222" w:name="_Toc513580602"/>
      <w:r>
        <w:rPr>
          <w:rFonts w:hint="eastAsia"/>
        </w:rPr>
        <w:t>2.主要结论</w:t>
      </w:r>
      <w:bookmarkEnd w:id="221"/>
      <w:bookmarkEnd w:id="222"/>
    </w:p>
    <w:p w14:paraId="501B9805">
      <w:pPr>
        <w:pStyle w:val="35"/>
        <w:spacing w:before="156" w:after="156"/>
        <w:ind w:firstLine="480"/>
      </w:pPr>
      <w:bookmarkStart w:id="223" w:name="_Toc39760658"/>
      <w:bookmarkStart w:id="224" w:name="_Toc513580603"/>
      <w:r>
        <w:rPr>
          <w:rFonts w:hint="eastAsia"/>
        </w:rPr>
        <w:t>本次项目绩效评价为“优”。本项目符合国家产业政策引导发展方向，项目管理基本有效，项目实施有相应的制度保障，项目决策、过程、效益完成度高；与三项指标相比，项目产出指标中部分指标完成度有待进一步提升。</w:t>
      </w:r>
      <w:bookmarkEnd w:id="223"/>
      <w:bookmarkEnd w:id="224"/>
    </w:p>
    <w:p w14:paraId="553AC353">
      <w:pPr>
        <w:pStyle w:val="2"/>
        <w:spacing w:before="156" w:after="156"/>
        <w:ind w:firstLine="562"/>
      </w:pPr>
      <w:bookmarkStart w:id="225" w:name="_Toc39935958"/>
      <w:r>
        <w:rPr>
          <w:rFonts w:hint="eastAsia"/>
        </w:rPr>
        <w:t>四、主要经验及做法、存在的问题和建议</w:t>
      </w:r>
      <w:bookmarkEnd w:id="225"/>
    </w:p>
    <w:p w14:paraId="6B85ECA1">
      <w:pPr>
        <w:pStyle w:val="17"/>
        <w:ind w:firstLine="482"/>
      </w:pPr>
      <w:bookmarkStart w:id="226" w:name="_Toc39935959"/>
      <w:r>
        <w:rPr>
          <w:rFonts w:hint="eastAsia"/>
        </w:rPr>
        <w:t>（一）主要经验及做法</w:t>
      </w:r>
      <w:bookmarkEnd w:id="226"/>
    </w:p>
    <w:p w14:paraId="4D31BF8D">
      <w:pPr>
        <w:pStyle w:val="35"/>
        <w:spacing w:before="156" w:after="156"/>
        <w:ind w:firstLine="480"/>
      </w:pPr>
      <w:r>
        <w:rPr>
          <w:rFonts w:hint="eastAsia"/>
        </w:rPr>
        <w:t>市交通运输局在审核、量化航空专项资金多项绩效目标时，没有选择过于宽松的目标值，而是设置非常具有挑战、压力性的目标值，这种超前的绩效激励意识，不但体现出主要负责同志的敢挑担子、能抗压力，符合党的十八大以来</w:t>
      </w:r>
      <w:bookmarkStart w:id="230" w:name="_GoBack"/>
      <w:bookmarkEnd w:id="230"/>
      <w:r>
        <w:rPr>
          <w:rFonts w:hint="eastAsia"/>
        </w:rPr>
        <w:t>习近平总书记提出的新时期好干部标准——“担当有动力、无为没市场”，更表现出敢为人先的精神，突出了硬化绩效责任意识的鲜明导向。</w:t>
      </w:r>
    </w:p>
    <w:p w14:paraId="1CDD2749">
      <w:pPr>
        <w:pStyle w:val="17"/>
        <w:ind w:firstLine="482"/>
      </w:pPr>
      <w:bookmarkStart w:id="227" w:name="_Toc39935960"/>
      <w:r>
        <w:rPr>
          <w:rFonts w:hint="eastAsia"/>
        </w:rPr>
        <w:t>（二）存在的问题</w:t>
      </w:r>
      <w:bookmarkEnd w:id="227"/>
    </w:p>
    <w:p w14:paraId="1646884C">
      <w:pPr>
        <w:pStyle w:val="35"/>
        <w:spacing w:before="156" w:after="156"/>
        <w:ind w:firstLine="480"/>
      </w:pPr>
      <w:r>
        <w:rPr>
          <w:rFonts w:hint="eastAsia"/>
        </w:rPr>
        <w:t>1.航线指标评价基础数据不一致、停飞航线未删减。机场公司提供的“武汉民航2018年统计数据”中“国内、国际通航城市”与机场集团印发的《武汉航空发展引导专项资金管理实施细则（修订稿）》（鄂机场发[2019]263号）后附件1-2“2018年度武汉天河机场已开通航点明细”不一致，且经查询民航综合统计平台2018年度航班运行记录，两者均存在已停飞航线的航点未删减的情况。</w:t>
      </w:r>
    </w:p>
    <w:p w14:paraId="784902A0">
      <w:pPr>
        <w:pStyle w:val="35"/>
        <w:spacing w:before="156" w:after="156"/>
        <w:ind w:firstLine="480"/>
      </w:pPr>
      <w:r>
        <w:rPr>
          <w:rFonts w:hint="eastAsia"/>
        </w:rPr>
        <w:t>2.中转指标评价基础数据不太准确。机场公司中转服务平台的系统缺陷导致国际客运中转数据不太准确，目前仅按南航提供航班基础数据，修订出国际客运中转最佳估计值。</w:t>
      </w:r>
    </w:p>
    <w:p w14:paraId="420339CC">
      <w:pPr>
        <w:pStyle w:val="35"/>
        <w:spacing w:before="156" w:after="156"/>
        <w:ind w:firstLine="480"/>
      </w:pPr>
      <w:r>
        <w:rPr>
          <w:rFonts w:hint="eastAsia"/>
        </w:rPr>
        <w:t>3. 经济效益指标评价中，平台资金带动系数主要体现为同一主体三家公司各类运营优惠减免汇总的自筹资金，未引导资金集中投入，无法对绩效目标实现程度和航空专项资金执行进度实行全方位监控，不利于航空专项资金朝坚持市场化、基金化运作的方向长远发展。</w:t>
      </w:r>
    </w:p>
    <w:p w14:paraId="4479E91E">
      <w:pPr>
        <w:pStyle w:val="17"/>
        <w:ind w:firstLine="482"/>
      </w:pPr>
      <w:bookmarkStart w:id="228" w:name="_Toc39935961"/>
      <w:r>
        <w:rPr>
          <w:rFonts w:hint="eastAsia"/>
        </w:rPr>
        <w:t>（三）建议和改进举措</w:t>
      </w:r>
      <w:bookmarkEnd w:id="228"/>
    </w:p>
    <w:p w14:paraId="77DE37D0">
      <w:pPr>
        <w:pStyle w:val="35"/>
        <w:spacing w:before="156" w:after="156"/>
        <w:ind w:firstLine="480"/>
      </w:pPr>
      <w:r>
        <w:rPr>
          <w:rFonts w:hint="eastAsia"/>
        </w:rPr>
        <w:t>1.合理设定航线指标绩效目标，并对绩效目标的评价基础统一口径，及时新增、删减航线航点，提高绩效评价结果的客观性和准确性。</w:t>
      </w:r>
    </w:p>
    <w:p w14:paraId="14A84640">
      <w:pPr>
        <w:pStyle w:val="35"/>
        <w:spacing w:before="156" w:after="156"/>
        <w:ind w:firstLine="480"/>
      </w:pPr>
      <w:r>
        <w:rPr>
          <w:rFonts w:hint="eastAsia"/>
        </w:rPr>
        <w:t>2.切实规范中转指标评价基础，考虑是否修订其他航司航班基础数据，提高绩效评价结果的客观性和准确性。</w:t>
      </w:r>
    </w:p>
    <w:p w14:paraId="25D0FA0B">
      <w:pPr>
        <w:pStyle w:val="35"/>
        <w:spacing w:before="156" w:after="156"/>
        <w:ind w:firstLine="480"/>
      </w:pPr>
      <w:r>
        <w:rPr>
          <w:rFonts w:hint="eastAsia"/>
        </w:rPr>
        <w:t>3.对绩效目标实现程度和资金执行进度实行“双监控”，既避免出现资金闲置沉淀，又有利于及时发现、纠正项目实施中存在的问题，确保绩效目标如期保质保量实现，同时确保专项资金使用安全高效。</w:t>
      </w:r>
    </w:p>
    <w:p w14:paraId="08061B3B">
      <w:pPr>
        <w:pStyle w:val="2"/>
        <w:spacing w:before="156" w:after="156"/>
        <w:ind w:firstLine="562"/>
      </w:pPr>
      <w:bookmarkStart w:id="229" w:name="_Toc39935962"/>
      <w:r>
        <w:rPr>
          <w:rFonts w:hint="eastAsia"/>
        </w:rPr>
        <w:t>五、其他需说明的问题</w:t>
      </w:r>
      <w:bookmarkEnd w:id="229"/>
    </w:p>
    <w:p w14:paraId="31F81788">
      <w:pPr>
        <w:pStyle w:val="35"/>
        <w:spacing w:before="156" w:after="156"/>
        <w:ind w:firstLine="480"/>
      </w:pPr>
      <w:r>
        <w:rPr>
          <w:rFonts w:hint="eastAsia"/>
        </w:rPr>
        <w:t>1.本次绩效评价对项目的产出、效益指标存在运用单一来源的数据进行评价，无法取得不同来源的数据进行交叉验证的情况，如：</w:t>
      </w:r>
      <w:r>
        <w:rPr>
          <w:rFonts w:hint="eastAsia" w:ascii="宋体" w:hAnsi="宋体"/>
        </w:rPr>
        <w:t>①</w:t>
      </w:r>
      <w:r>
        <w:rPr>
          <w:rFonts w:hint="eastAsia"/>
        </w:rPr>
        <w:t>航线指标中所有新增航线均未获取第三方证据材料，如：民航明传电报（客运）及经营许可（货运）；</w:t>
      </w:r>
      <w:r>
        <w:rPr>
          <w:rFonts w:hint="eastAsia" w:ascii="宋体" w:hAnsi="宋体"/>
        </w:rPr>
        <w:t>②</w:t>
      </w:r>
      <w:r>
        <w:rPr>
          <w:rFonts w:hint="eastAsia"/>
        </w:rPr>
        <w:t>中转指标中货邮中转因友和道通航空全货机停飞，无法取得货邮中转量相关单据，核实其基础数据；南航货运2018年未开展国际中转运输业务，2019年南航货邮中转量，因涉及南航商业机密，仅抽查核实其2019年8月基础数据等。为确保评价结果的客观性和准确性，绩效评价指标体系的设计需要进一步探讨和完善。</w:t>
      </w:r>
    </w:p>
    <w:p w14:paraId="0D491A10">
      <w:pPr>
        <w:pStyle w:val="35"/>
        <w:spacing w:before="156" w:after="156"/>
        <w:ind w:firstLine="480"/>
      </w:pPr>
      <w:r>
        <w:rPr>
          <w:rFonts w:hint="eastAsia"/>
        </w:rPr>
        <w:t>2.本报告仅供武汉市交通运输局2019年度武汉航空发展引导专项资金绩效评价之特定目的使用，不得用于其他用途，由于使用不当造成的后果与本注册会计师及会计师事务所无关。</w:t>
      </w:r>
    </w:p>
    <w:p w14:paraId="0BC93FC2">
      <w:pPr>
        <w:pStyle w:val="35"/>
        <w:spacing w:before="156" w:after="156"/>
        <w:ind w:firstLine="480"/>
      </w:pPr>
    </w:p>
    <w:p w14:paraId="4265EFD4">
      <w:pPr>
        <w:pStyle w:val="35"/>
        <w:spacing w:before="156" w:after="156"/>
        <w:ind w:firstLine="480"/>
      </w:pPr>
    </w:p>
    <w:p w14:paraId="598B3AE1">
      <w:pPr>
        <w:pStyle w:val="35"/>
        <w:spacing w:before="156" w:after="156"/>
        <w:ind w:firstLine="480"/>
      </w:pPr>
    </w:p>
    <w:p w14:paraId="396312E2">
      <w:pPr>
        <w:pStyle w:val="35"/>
        <w:spacing w:before="156" w:after="156"/>
        <w:ind w:firstLine="480"/>
      </w:pPr>
      <w:r>
        <w:rPr>
          <w:rFonts w:hint="eastAsia"/>
        </w:rPr>
        <w:t>附件：绩效评价指标体系及评分表</w:t>
      </w:r>
    </w:p>
    <w:p w14:paraId="63CCABE4">
      <w:pPr>
        <w:pStyle w:val="35"/>
        <w:spacing w:before="156" w:after="156"/>
        <w:ind w:firstLine="480"/>
      </w:pPr>
    </w:p>
    <w:p w14:paraId="23EF0185">
      <w:pPr>
        <w:pStyle w:val="35"/>
        <w:spacing w:before="156" w:after="156"/>
        <w:ind w:firstLine="480"/>
      </w:pPr>
    </w:p>
    <w:p w14:paraId="06067F50">
      <w:pPr>
        <w:pStyle w:val="35"/>
        <w:spacing w:before="156" w:after="156"/>
        <w:ind w:firstLine="480"/>
      </w:pPr>
    </w:p>
    <w:p w14:paraId="1CB3776B">
      <w:pPr>
        <w:pStyle w:val="35"/>
        <w:spacing w:before="156" w:after="156"/>
        <w:ind w:firstLine="840" w:firstLineChars="350"/>
        <w:rPr>
          <w:color w:val="000000"/>
        </w:rPr>
      </w:pPr>
      <w:r>
        <w:rPr>
          <w:rFonts w:hint="eastAsia"/>
          <w:color w:val="000000"/>
        </w:rPr>
        <w:t>天圆全会计师事务所</w:t>
      </w:r>
      <w:r>
        <w:rPr>
          <w:color w:val="000000"/>
        </w:rPr>
        <w:t xml:space="preserve">    </w:t>
      </w:r>
      <w:r>
        <w:rPr>
          <w:rFonts w:hint="eastAsia"/>
          <w:color w:val="000000"/>
        </w:rPr>
        <w:t xml:space="preserve">                  中国注册会计师： </w:t>
      </w:r>
    </w:p>
    <w:p w14:paraId="4E5875A3">
      <w:pPr>
        <w:pStyle w:val="35"/>
        <w:spacing w:before="156" w:after="156"/>
        <w:ind w:firstLine="480"/>
        <w:rPr>
          <w:color w:val="000000"/>
        </w:rPr>
      </w:pPr>
      <w:r>
        <w:rPr>
          <w:rFonts w:hint="eastAsia"/>
          <w:color w:val="000000"/>
        </w:rPr>
        <w:t>（特殊普通合伙）湖北分所                   中国注册会计师：</w:t>
      </w:r>
      <w:r>
        <w:rPr>
          <w:color w:val="000000"/>
        </w:rPr>
        <w:t xml:space="preserve"> </w:t>
      </w:r>
    </w:p>
    <w:p w14:paraId="6D7BB744">
      <w:pPr>
        <w:pStyle w:val="35"/>
        <w:spacing w:before="156" w:after="156"/>
        <w:ind w:firstLine="480"/>
        <w:rPr>
          <w:color w:val="000000"/>
          <w:kern w:val="0"/>
        </w:rPr>
      </w:pPr>
      <w:r>
        <w:rPr>
          <w:rFonts w:hint="eastAsia"/>
          <w:color w:val="000000"/>
        </w:rPr>
        <w:t xml:space="preserve">       中国·武汉</w: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rFonts w:hint="eastAsia"/>
          <w:color w:val="000000"/>
          <w:highlight w:val="yellow"/>
        </w:rPr>
        <w:t>二〇二〇年六月十六日</w:t>
      </w:r>
    </w:p>
    <w:p w14:paraId="26E09FF4">
      <w:pPr>
        <w:spacing w:before="156" w:beforeLines="50" w:after="156" w:afterLines="50" w:line="360" w:lineRule="auto"/>
        <w:ind w:right="42" w:rightChars="20"/>
        <w:rPr>
          <w:rFonts w:ascii="宋体" w:hAnsi="宋体"/>
          <w:b/>
          <w:sz w:val="28"/>
          <w:szCs w:val="28"/>
        </w:rPr>
      </w:pPr>
      <w:r>
        <w:rPr>
          <w:rFonts w:ascii="宋体" w:hAnsi="宋体"/>
          <w:b/>
          <w:sz w:val="24"/>
        </w:rPr>
        <w:br w:type="page"/>
      </w:r>
      <w:r>
        <w:rPr>
          <w:rFonts w:hint="eastAsia" w:ascii="宋体" w:hAnsi="宋体"/>
          <w:b/>
          <w:sz w:val="24"/>
          <w:szCs w:val="28"/>
        </w:rPr>
        <w:t>附件：</w:t>
      </w:r>
    </w:p>
    <w:p w14:paraId="1AC57E9C">
      <w:pPr>
        <w:spacing w:after="156" w:afterLines="50" w:line="440" w:lineRule="exact"/>
        <w:ind w:right="42" w:rightChars="20"/>
        <w:jc w:val="center"/>
        <w:rPr>
          <w:rFonts w:ascii="宋体" w:hAnsi="宋体"/>
          <w:b/>
          <w:sz w:val="28"/>
          <w:szCs w:val="28"/>
        </w:rPr>
      </w:pPr>
      <w:r>
        <w:rPr>
          <w:rFonts w:hint="eastAsia" w:ascii="宋体" w:hAnsi="宋体"/>
          <w:b/>
          <w:sz w:val="28"/>
          <w:szCs w:val="28"/>
        </w:rPr>
        <w:t>绩效评价指标体系及评分表</w:t>
      </w:r>
    </w:p>
    <w:tbl>
      <w:tblPr>
        <w:tblStyle w:val="19"/>
        <w:tblW w:w="9340" w:type="dxa"/>
        <w:tblInd w:w="93" w:type="dxa"/>
        <w:tblBorders>
          <w:top w:val="double" w:color="auto" w:sz="4" w:space="0"/>
          <w:left w:val="none" w:color="auto" w:sz="0" w:space="0"/>
          <w:bottom w:val="double" w:color="auto" w:sz="4"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60"/>
        <w:gridCol w:w="1060"/>
        <w:gridCol w:w="2480"/>
        <w:gridCol w:w="3680"/>
        <w:gridCol w:w="1060"/>
      </w:tblGrid>
      <w:tr w14:paraId="37782A8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blHeader/>
        </w:trPr>
        <w:tc>
          <w:tcPr>
            <w:tcW w:w="1060" w:type="dxa"/>
            <w:shd w:val="clear" w:color="auto" w:fill="auto"/>
            <w:vAlign w:val="center"/>
          </w:tcPr>
          <w:p w14:paraId="2262F269">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一级指标</w:t>
            </w:r>
          </w:p>
        </w:tc>
        <w:tc>
          <w:tcPr>
            <w:tcW w:w="1060" w:type="dxa"/>
            <w:shd w:val="clear" w:color="auto" w:fill="auto"/>
            <w:vAlign w:val="center"/>
          </w:tcPr>
          <w:p w14:paraId="6D74B4FD">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二级指标</w:t>
            </w:r>
          </w:p>
        </w:tc>
        <w:tc>
          <w:tcPr>
            <w:tcW w:w="2480" w:type="dxa"/>
            <w:shd w:val="clear" w:color="auto" w:fill="auto"/>
            <w:vAlign w:val="center"/>
          </w:tcPr>
          <w:p w14:paraId="15849DBF">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三级指标</w:t>
            </w:r>
          </w:p>
        </w:tc>
        <w:tc>
          <w:tcPr>
            <w:tcW w:w="3680" w:type="dxa"/>
            <w:shd w:val="clear" w:color="auto" w:fill="auto"/>
            <w:vAlign w:val="center"/>
          </w:tcPr>
          <w:p w14:paraId="665D611F">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评分标准</w:t>
            </w:r>
          </w:p>
        </w:tc>
        <w:tc>
          <w:tcPr>
            <w:tcW w:w="1060" w:type="dxa"/>
            <w:shd w:val="clear" w:color="auto" w:fill="auto"/>
            <w:vAlign w:val="center"/>
          </w:tcPr>
          <w:p w14:paraId="7A05E138">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评分</w:t>
            </w:r>
          </w:p>
        </w:tc>
      </w:tr>
      <w:tr w14:paraId="39C909AE">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restart"/>
            <w:shd w:val="clear" w:color="auto" w:fill="auto"/>
            <w:vAlign w:val="center"/>
          </w:tcPr>
          <w:p w14:paraId="47EF80B2">
            <w:pPr>
              <w:widowControl/>
              <w:jc w:val="center"/>
              <w:rPr>
                <w:rFonts w:ascii="仿宋" w:hAnsi="仿宋" w:eastAsia="仿宋" w:cs="宋体"/>
                <w:kern w:val="0"/>
                <w:sz w:val="18"/>
                <w:szCs w:val="18"/>
              </w:rPr>
            </w:pPr>
            <w:r>
              <w:rPr>
                <w:rFonts w:hint="eastAsia" w:ascii="仿宋" w:hAnsi="仿宋" w:eastAsia="仿宋" w:cs="宋体"/>
                <w:kern w:val="0"/>
                <w:sz w:val="18"/>
                <w:szCs w:val="18"/>
              </w:rPr>
              <w:t>决策</w:t>
            </w:r>
            <w:r>
              <w:rPr>
                <w:rFonts w:hint="eastAsia" w:ascii="仿宋" w:hAnsi="仿宋" w:eastAsia="仿宋" w:cs="宋体"/>
                <w:kern w:val="0"/>
                <w:sz w:val="18"/>
                <w:szCs w:val="18"/>
              </w:rPr>
              <w:br w:type="textWrapping"/>
            </w:r>
            <w:r>
              <w:rPr>
                <w:rFonts w:hint="eastAsia" w:ascii="仿宋" w:hAnsi="仿宋" w:eastAsia="仿宋" w:cs="宋体"/>
                <w:kern w:val="0"/>
                <w:sz w:val="18"/>
                <w:szCs w:val="18"/>
              </w:rPr>
              <w:t>（12分）</w:t>
            </w:r>
          </w:p>
        </w:tc>
        <w:tc>
          <w:tcPr>
            <w:tcW w:w="1060" w:type="dxa"/>
            <w:vMerge w:val="restart"/>
            <w:shd w:val="clear" w:color="auto" w:fill="auto"/>
            <w:vAlign w:val="center"/>
          </w:tcPr>
          <w:p w14:paraId="06B33BA6">
            <w:pPr>
              <w:widowControl/>
              <w:jc w:val="center"/>
              <w:rPr>
                <w:rFonts w:ascii="仿宋" w:hAnsi="仿宋" w:eastAsia="仿宋" w:cs="宋体"/>
                <w:kern w:val="0"/>
                <w:sz w:val="18"/>
                <w:szCs w:val="18"/>
              </w:rPr>
            </w:pPr>
            <w:r>
              <w:rPr>
                <w:rFonts w:hint="eastAsia" w:ascii="仿宋" w:hAnsi="仿宋" w:eastAsia="仿宋" w:cs="宋体"/>
                <w:kern w:val="0"/>
                <w:sz w:val="18"/>
                <w:szCs w:val="18"/>
              </w:rPr>
              <w:t>项目立项</w:t>
            </w:r>
            <w:r>
              <w:rPr>
                <w:rFonts w:hint="eastAsia" w:ascii="仿宋" w:hAnsi="仿宋" w:eastAsia="仿宋" w:cs="宋体"/>
                <w:kern w:val="0"/>
                <w:sz w:val="18"/>
                <w:szCs w:val="18"/>
              </w:rPr>
              <w:br w:type="textWrapping"/>
            </w:r>
            <w:r>
              <w:rPr>
                <w:rFonts w:hint="eastAsia" w:ascii="仿宋" w:hAnsi="仿宋" w:eastAsia="仿宋" w:cs="宋体"/>
                <w:kern w:val="0"/>
                <w:sz w:val="18"/>
                <w:szCs w:val="18"/>
              </w:rPr>
              <w:t>（4分）</w:t>
            </w:r>
          </w:p>
        </w:tc>
        <w:tc>
          <w:tcPr>
            <w:tcW w:w="2480" w:type="dxa"/>
            <w:vMerge w:val="restart"/>
            <w:shd w:val="clear" w:color="auto" w:fill="auto"/>
            <w:vAlign w:val="center"/>
          </w:tcPr>
          <w:p w14:paraId="3F3A19B4">
            <w:pPr>
              <w:widowControl/>
              <w:jc w:val="left"/>
              <w:rPr>
                <w:rFonts w:ascii="仿宋" w:hAnsi="仿宋" w:eastAsia="仿宋" w:cs="宋体"/>
                <w:kern w:val="0"/>
                <w:sz w:val="18"/>
                <w:szCs w:val="18"/>
              </w:rPr>
            </w:pPr>
            <w:r>
              <w:rPr>
                <w:rFonts w:hint="eastAsia" w:ascii="仿宋" w:hAnsi="仿宋" w:eastAsia="仿宋" w:cs="宋体"/>
                <w:kern w:val="0"/>
                <w:sz w:val="18"/>
                <w:szCs w:val="18"/>
              </w:rPr>
              <w:t>立项依据充分性（2分）</w:t>
            </w:r>
          </w:p>
        </w:tc>
        <w:tc>
          <w:tcPr>
            <w:tcW w:w="3680" w:type="dxa"/>
            <w:shd w:val="clear" w:color="auto" w:fill="auto"/>
            <w:vAlign w:val="center"/>
          </w:tcPr>
          <w:p w14:paraId="38B5D980">
            <w:pPr>
              <w:widowControl/>
              <w:jc w:val="left"/>
              <w:rPr>
                <w:rFonts w:ascii="仿宋" w:hAnsi="仿宋" w:eastAsia="仿宋" w:cs="宋体"/>
                <w:kern w:val="0"/>
                <w:sz w:val="18"/>
                <w:szCs w:val="18"/>
              </w:rPr>
            </w:pPr>
            <w:r>
              <w:rPr>
                <w:rFonts w:hint="eastAsia" w:ascii="仿宋" w:hAnsi="仿宋" w:eastAsia="仿宋" w:cs="宋体"/>
                <w:kern w:val="0"/>
                <w:sz w:val="18"/>
                <w:szCs w:val="18"/>
              </w:rPr>
              <w:t>①  项目立项没有依据不得分，计0分。</w:t>
            </w:r>
          </w:p>
        </w:tc>
        <w:tc>
          <w:tcPr>
            <w:tcW w:w="1060" w:type="dxa"/>
            <w:vMerge w:val="restart"/>
            <w:shd w:val="clear" w:color="auto" w:fill="auto"/>
            <w:vAlign w:val="center"/>
          </w:tcPr>
          <w:p w14:paraId="3BDA6E9F">
            <w:pPr>
              <w:widowControl/>
              <w:jc w:val="center"/>
              <w:rPr>
                <w:rFonts w:ascii="仿宋" w:hAnsi="仿宋" w:eastAsia="仿宋" w:cs="宋体"/>
                <w:kern w:val="0"/>
                <w:sz w:val="18"/>
                <w:szCs w:val="18"/>
              </w:rPr>
            </w:pPr>
            <w:r>
              <w:rPr>
                <w:rFonts w:hint="eastAsia" w:ascii="仿宋" w:hAnsi="仿宋" w:eastAsia="仿宋" w:cs="宋体"/>
                <w:kern w:val="0"/>
                <w:sz w:val="18"/>
                <w:szCs w:val="18"/>
              </w:rPr>
              <w:t>2</w:t>
            </w:r>
          </w:p>
        </w:tc>
      </w:tr>
      <w:tr w14:paraId="05F99870">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0100974F">
            <w:pPr>
              <w:widowControl/>
              <w:jc w:val="left"/>
              <w:rPr>
                <w:rFonts w:ascii="仿宋" w:hAnsi="仿宋" w:eastAsia="仿宋" w:cs="宋体"/>
                <w:kern w:val="0"/>
                <w:sz w:val="18"/>
                <w:szCs w:val="18"/>
              </w:rPr>
            </w:pPr>
          </w:p>
        </w:tc>
        <w:tc>
          <w:tcPr>
            <w:tcW w:w="1060" w:type="dxa"/>
            <w:vMerge w:val="continue"/>
            <w:shd w:val="clear" w:color="auto" w:fill="auto"/>
            <w:vAlign w:val="center"/>
          </w:tcPr>
          <w:p w14:paraId="40FBF6DF">
            <w:pPr>
              <w:widowControl/>
              <w:jc w:val="left"/>
              <w:rPr>
                <w:rFonts w:ascii="仿宋" w:hAnsi="仿宋" w:eastAsia="仿宋" w:cs="宋体"/>
                <w:kern w:val="0"/>
                <w:sz w:val="18"/>
                <w:szCs w:val="18"/>
              </w:rPr>
            </w:pPr>
          </w:p>
        </w:tc>
        <w:tc>
          <w:tcPr>
            <w:tcW w:w="2480" w:type="dxa"/>
            <w:vMerge w:val="continue"/>
            <w:shd w:val="clear" w:color="auto" w:fill="auto"/>
            <w:vAlign w:val="center"/>
          </w:tcPr>
          <w:p w14:paraId="686EE3FA">
            <w:pPr>
              <w:widowControl/>
              <w:jc w:val="left"/>
              <w:rPr>
                <w:rFonts w:ascii="仿宋" w:hAnsi="仿宋" w:eastAsia="仿宋" w:cs="宋体"/>
                <w:kern w:val="0"/>
                <w:sz w:val="18"/>
                <w:szCs w:val="18"/>
              </w:rPr>
            </w:pPr>
          </w:p>
        </w:tc>
        <w:tc>
          <w:tcPr>
            <w:tcW w:w="3680" w:type="dxa"/>
            <w:shd w:val="clear" w:color="auto" w:fill="auto"/>
            <w:vAlign w:val="center"/>
          </w:tcPr>
          <w:p w14:paraId="06B95FAE">
            <w:pPr>
              <w:widowControl/>
              <w:jc w:val="left"/>
              <w:rPr>
                <w:rFonts w:ascii="仿宋" w:hAnsi="仿宋" w:eastAsia="仿宋" w:cs="宋体"/>
                <w:kern w:val="0"/>
                <w:sz w:val="18"/>
                <w:szCs w:val="18"/>
              </w:rPr>
            </w:pPr>
            <w:r>
              <w:rPr>
                <w:rFonts w:hint="eastAsia" w:ascii="仿宋" w:hAnsi="仿宋" w:eastAsia="仿宋" w:cs="宋体"/>
                <w:kern w:val="0"/>
                <w:sz w:val="18"/>
                <w:szCs w:val="18"/>
              </w:rPr>
              <w:t>②  项目立项有依据，但不充分，计1分。</w:t>
            </w:r>
          </w:p>
        </w:tc>
        <w:tc>
          <w:tcPr>
            <w:tcW w:w="1060" w:type="dxa"/>
            <w:vMerge w:val="continue"/>
            <w:shd w:val="clear" w:color="auto" w:fill="auto"/>
            <w:vAlign w:val="center"/>
          </w:tcPr>
          <w:p w14:paraId="74C36EFF">
            <w:pPr>
              <w:widowControl/>
              <w:jc w:val="left"/>
              <w:rPr>
                <w:rFonts w:ascii="仿宋" w:hAnsi="仿宋" w:eastAsia="仿宋" w:cs="宋体"/>
                <w:kern w:val="0"/>
                <w:sz w:val="18"/>
                <w:szCs w:val="18"/>
              </w:rPr>
            </w:pPr>
          </w:p>
        </w:tc>
      </w:tr>
      <w:tr w14:paraId="50F8B51D">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90" w:hRule="atLeast"/>
        </w:trPr>
        <w:tc>
          <w:tcPr>
            <w:tcW w:w="1060" w:type="dxa"/>
            <w:vMerge w:val="continue"/>
            <w:shd w:val="clear" w:color="auto" w:fill="auto"/>
            <w:vAlign w:val="center"/>
          </w:tcPr>
          <w:p w14:paraId="062E4FD6">
            <w:pPr>
              <w:widowControl/>
              <w:jc w:val="left"/>
              <w:rPr>
                <w:rFonts w:ascii="仿宋" w:hAnsi="仿宋" w:eastAsia="仿宋" w:cs="宋体"/>
                <w:kern w:val="0"/>
                <w:sz w:val="18"/>
                <w:szCs w:val="18"/>
              </w:rPr>
            </w:pPr>
          </w:p>
        </w:tc>
        <w:tc>
          <w:tcPr>
            <w:tcW w:w="1060" w:type="dxa"/>
            <w:vMerge w:val="continue"/>
            <w:shd w:val="clear" w:color="auto" w:fill="auto"/>
            <w:vAlign w:val="center"/>
          </w:tcPr>
          <w:p w14:paraId="5592AF1F">
            <w:pPr>
              <w:widowControl/>
              <w:jc w:val="left"/>
              <w:rPr>
                <w:rFonts w:ascii="仿宋" w:hAnsi="仿宋" w:eastAsia="仿宋" w:cs="宋体"/>
                <w:kern w:val="0"/>
                <w:sz w:val="18"/>
                <w:szCs w:val="18"/>
              </w:rPr>
            </w:pPr>
          </w:p>
        </w:tc>
        <w:tc>
          <w:tcPr>
            <w:tcW w:w="2480" w:type="dxa"/>
            <w:vMerge w:val="continue"/>
            <w:shd w:val="clear" w:color="auto" w:fill="auto"/>
            <w:vAlign w:val="center"/>
          </w:tcPr>
          <w:p w14:paraId="4C5B7B14">
            <w:pPr>
              <w:widowControl/>
              <w:jc w:val="left"/>
              <w:rPr>
                <w:rFonts w:ascii="仿宋" w:hAnsi="仿宋" w:eastAsia="仿宋" w:cs="宋体"/>
                <w:kern w:val="0"/>
                <w:sz w:val="18"/>
                <w:szCs w:val="18"/>
              </w:rPr>
            </w:pPr>
          </w:p>
        </w:tc>
        <w:tc>
          <w:tcPr>
            <w:tcW w:w="3680" w:type="dxa"/>
            <w:shd w:val="clear" w:color="auto" w:fill="auto"/>
            <w:vAlign w:val="center"/>
          </w:tcPr>
          <w:p w14:paraId="6D2FFC34">
            <w:pPr>
              <w:widowControl/>
              <w:jc w:val="left"/>
              <w:rPr>
                <w:rFonts w:ascii="仿宋" w:hAnsi="仿宋" w:eastAsia="仿宋" w:cs="宋体"/>
                <w:kern w:val="0"/>
                <w:sz w:val="18"/>
                <w:szCs w:val="18"/>
              </w:rPr>
            </w:pPr>
            <w:r>
              <w:rPr>
                <w:rFonts w:hint="eastAsia" w:ascii="仿宋" w:hAnsi="仿宋" w:eastAsia="仿宋" w:cs="宋体"/>
                <w:kern w:val="0"/>
                <w:sz w:val="18"/>
                <w:szCs w:val="18"/>
              </w:rPr>
              <w:t>③  项目立项有充分的法律、法规、政策或经济社会发展规划为依据，计2分。</w:t>
            </w:r>
          </w:p>
        </w:tc>
        <w:tc>
          <w:tcPr>
            <w:tcW w:w="1060" w:type="dxa"/>
            <w:vMerge w:val="continue"/>
            <w:shd w:val="clear" w:color="auto" w:fill="auto"/>
            <w:vAlign w:val="center"/>
          </w:tcPr>
          <w:p w14:paraId="3A4F15B5">
            <w:pPr>
              <w:widowControl/>
              <w:jc w:val="left"/>
              <w:rPr>
                <w:rFonts w:ascii="仿宋" w:hAnsi="仿宋" w:eastAsia="仿宋" w:cs="宋体"/>
                <w:kern w:val="0"/>
                <w:sz w:val="18"/>
                <w:szCs w:val="18"/>
              </w:rPr>
            </w:pPr>
          </w:p>
        </w:tc>
      </w:tr>
      <w:tr w14:paraId="2BEE9380">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17806672">
            <w:pPr>
              <w:widowControl/>
              <w:jc w:val="left"/>
              <w:rPr>
                <w:rFonts w:ascii="仿宋" w:hAnsi="仿宋" w:eastAsia="仿宋" w:cs="宋体"/>
                <w:kern w:val="0"/>
                <w:sz w:val="18"/>
                <w:szCs w:val="18"/>
              </w:rPr>
            </w:pPr>
          </w:p>
        </w:tc>
        <w:tc>
          <w:tcPr>
            <w:tcW w:w="1060" w:type="dxa"/>
            <w:vMerge w:val="continue"/>
            <w:shd w:val="clear" w:color="auto" w:fill="auto"/>
            <w:vAlign w:val="center"/>
          </w:tcPr>
          <w:p w14:paraId="624F7920">
            <w:pPr>
              <w:widowControl/>
              <w:jc w:val="left"/>
              <w:rPr>
                <w:rFonts w:ascii="仿宋" w:hAnsi="仿宋" w:eastAsia="仿宋" w:cs="宋体"/>
                <w:kern w:val="0"/>
                <w:sz w:val="18"/>
                <w:szCs w:val="18"/>
              </w:rPr>
            </w:pPr>
          </w:p>
        </w:tc>
        <w:tc>
          <w:tcPr>
            <w:tcW w:w="2480" w:type="dxa"/>
            <w:vMerge w:val="restart"/>
            <w:shd w:val="clear" w:color="auto" w:fill="auto"/>
            <w:vAlign w:val="center"/>
          </w:tcPr>
          <w:p w14:paraId="4211D9DE">
            <w:pPr>
              <w:widowControl/>
              <w:jc w:val="left"/>
              <w:rPr>
                <w:rFonts w:ascii="仿宋" w:hAnsi="仿宋" w:eastAsia="仿宋" w:cs="宋体"/>
                <w:kern w:val="0"/>
                <w:sz w:val="18"/>
                <w:szCs w:val="18"/>
              </w:rPr>
            </w:pPr>
            <w:r>
              <w:rPr>
                <w:rFonts w:hint="eastAsia" w:ascii="仿宋" w:hAnsi="仿宋" w:eastAsia="仿宋" w:cs="宋体"/>
                <w:kern w:val="0"/>
                <w:sz w:val="18"/>
                <w:szCs w:val="18"/>
              </w:rPr>
              <w:t>立项程序规范性（2分）</w:t>
            </w:r>
          </w:p>
        </w:tc>
        <w:tc>
          <w:tcPr>
            <w:tcW w:w="3680" w:type="dxa"/>
            <w:shd w:val="clear" w:color="auto" w:fill="auto"/>
            <w:vAlign w:val="center"/>
          </w:tcPr>
          <w:p w14:paraId="47B98A0E">
            <w:pPr>
              <w:widowControl/>
              <w:jc w:val="left"/>
              <w:rPr>
                <w:rFonts w:ascii="仿宋" w:hAnsi="仿宋" w:eastAsia="仿宋" w:cs="宋体"/>
                <w:kern w:val="0"/>
                <w:sz w:val="18"/>
                <w:szCs w:val="18"/>
              </w:rPr>
            </w:pPr>
            <w:r>
              <w:rPr>
                <w:rFonts w:hint="eastAsia" w:ascii="仿宋" w:hAnsi="仿宋" w:eastAsia="仿宋" w:cs="宋体"/>
                <w:kern w:val="0"/>
                <w:sz w:val="18"/>
                <w:szCs w:val="18"/>
              </w:rPr>
              <w:t>①  有发展目标任务、资金预算计划，计1分。</w:t>
            </w:r>
          </w:p>
        </w:tc>
        <w:tc>
          <w:tcPr>
            <w:tcW w:w="1060" w:type="dxa"/>
            <w:vMerge w:val="restart"/>
            <w:shd w:val="clear" w:color="auto" w:fill="auto"/>
            <w:vAlign w:val="center"/>
          </w:tcPr>
          <w:p w14:paraId="643D4249">
            <w:pPr>
              <w:widowControl/>
              <w:jc w:val="center"/>
              <w:rPr>
                <w:rFonts w:ascii="仿宋" w:hAnsi="仿宋" w:eastAsia="仿宋" w:cs="宋体"/>
                <w:kern w:val="0"/>
                <w:sz w:val="18"/>
                <w:szCs w:val="18"/>
              </w:rPr>
            </w:pPr>
            <w:r>
              <w:rPr>
                <w:rFonts w:hint="eastAsia" w:ascii="仿宋" w:hAnsi="仿宋" w:eastAsia="仿宋" w:cs="宋体"/>
                <w:kern w:val="0"/>
                <w:sz w:val="18"/>
                <w:szCs w:val="18"/>
              </w:rPr>
              <w:t>2</w:t>
            </w:r>
          </w:p>
        </w:tc>
      </w:tr>
      <w:tr w14:paraId="3F8D8DE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5534C6FE">
            <w:pPr>
              <w:widowControl/>
              <w:jc w:val="left"/>
              <w:rPr>
                <w:rFonts w:ascii="仿宋" w:hAnsi="仿宋" w:eastAsia="仿宋" w:cs="宋体"/>
                <w:kern w:val="0"/>
                <w:sz w:val="18"/>
                <w:szCs w:val="18"/>
              </w:rPr>
            </w:pPr>
          </w:p>
        </w:tc>
        <w:tc>
          <w:tcPr>
            <w:tcW w:w="1060" w:type="dxa"/>
            <w:vMerge w:val="continue"/>
            <w:shd w:val="clear" w:color="auto" w:fill="auto"/>
            <w:vAlign w:val="center"/>
          </w:tcPr>
          <w:p w14:paraId="7B4C3D0F">
            <w:pPr>
              <w:widowControl/>
              <w:jc w:val="left"/>
              <w:rPr>
                <w:rFonts w:ascii="仿宋" w:hAnsi="仿宋" w:eastAsia="仿宋" w:cs="宋体"/>
                <w:kern w:val="0"/>
                <w:sz w:val="18"/>
                <w:szCs w:val="18"/>
              </w:rPr>
            </w:pPr>
          </w:p>
        </w:tc>
        <w:tc>
          <w:tcPr>
            <w:tcW w:w="2480" w:type="dxa"/>
            <w:vMerge w:val="continue"/>
            <w:shd w:val="clear" w:color="auto" w:fill="auto"/>
            <w:vAlign w:val="center"/>
          </w:tcPr>
          <w:p w14:paraId="662A1D07">
            <w:pPr>
              <w:widowControl/>
              <w:jc w:val="left"/>
              <w:rPr>
                <w:rFonts w:ascii="仿宋" w:hAnsi="仿宋" w:eastAsia="仿宋" w:cs="宋体"/>
                <w:kern w:val="0"/>
                <w:sz w:val="18"/>
                <w:szCs w:val="18"/>
              </w:rPr>
            </w:pPr>
          </w:p>
        </w:tc>
        <w:tc>
          <w:tcPr>
            <w:tcW w:w="3680" w:type="dxa"/>
            <w:shd w:val="clear" w:color="auto" w:fill="auto"/>
            <w:vAlign w:val="center"/>
          </w:tcPr>
          <w:p w14:paraId="1B8AC836">
            <w:pPr>
              <w:widowControl/>
              <w:jc w:val="left"/>
              <w:rPr>
                <w:rFonts w:ascii="仿宋" w:hAnsi="仿宋" w:eastAsia="仿宋" w:cs="宋体"/>
                <w:kern w:val="0"/>
                <w:sz w:val="18"/>
                <w:szCs w:val="18"/>
              </w:rPr>
            </w:pPr>
            <w:r>
              <w:rPr>
                <w:rFonts w:hint="eastAsia" w:ascii="仿宋" w:hAnsi="仿宋" w:eastAsia="仿宋" w:cs="宋体"/>
                <w:kern w:val="0"/>
                <w:sz w:val="18"/>
                <w:szCs w:val="18"/>
              </w:rPr>
              <w:t>②  资金预算计划，报市财政局审核，计1分。</w:t>
            </w:r>
          </w:p>
        </w:tc>
        <w:tc>
          <w:tcPr>
            <w:tcW w:w="1060" w:type="dxa"/>
            <w:vMerge w:val="continue"/>
            <w:shd w:val="clear" w:color="auto" w:fill="auto"/>
            <w:vAlign w:val="center"/>
          </w:tcPr>
          <w:p w14:paraId="0DCC8FA6">
            <w:pPr>
              <w:widowControl/>
              <w:jc w:val="left"/>
              <w:rPr>
                <w:rFonts w:ascii="仿宋" w:hAnsi="仿宋" w:eastAsia="仿宋" w:cs="宋体"/>
                <w:kern w:val="0"/>
                <w:sz w:val="18"/>
                <w:szCs w:val="18"/>
              </w:rPr>
            </w:pPr>
          </w:p>
        </w:tc>
      </w:tr>
      <w:tr w14:paraId="3061C766">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062F94DA">
            <w:pPr>
              <w:widowControl/>
              <w:jc w:val="left"/>
              <w:rPr>
                <w:rFonts w:ascii="仿宋" w:hAnsi="仿宋" w:eastAsia="仿宋" w:cs="宋体"/>
                <w:kern w:val="0"/>
                <w:sz w:val="18"/>
                <w:szCs w:val="18"/>
              </w:rPr>
            </w:pPr>
          </w:p>
        </w:tc>
        <w:tc>
          <w:tcPr>
            <w:tcW w:w="1060" w:type="dxa"/>
            <w:vMerge w:val="restart"/>
            <w:shd w:val="clear" w:color="auto" w:fill="auto"/>
            <w:vAlign w:val="center"/>
          </w:tcPr>
          <w:p w14:paraId="42D374D7">
            <w:pPr>
              <w:widowControl/>
              <w:jc w:val="center"/>
              <w:rPr>
                <w:rFonts w:ascii="仿宋" w:hAnsi="仿宋" w:eastAsia="仿宋" w:cs="宋体"/>
                <w:kern w:val="0"/>
                <w:sz w:val="18"/>
                <w:szCs w:val="18"/>
              </w:rPr>
            </w:pPr>
            <w:r>
              <w:rPr>
                <w:rFonts w:hint="eastAsia" w:ascii="仿宋" w:hAnsi="仿宋" w:eastAsia="仿宋" w:cs="宋体"/>
                <w:kern w:val="0"/>
                <w:sz w:val="18"/>
                <w:szCs w:val="18"/>
              </w:rPr>
              <w:t>绩效目标</w:t>
            </w:r>
            <w:r>
              <w:rPr>
                <w:rFonts w:hint="eastAsia" w:ascii="仿宋" w:hAnsi="仿宋" w:eastAsia="仿宋" w:cs="宋体"/>
                <w:kern w:val="0"/>
                <w:sz w:val="18"/>
                <w:szCs w:val="18"/>
              </w:rPr>
              <w:br w:type="textWrapping"/>
            </w:r>
            <w:r>
              <w:rPr>
                <w:rFonts w:hint="eastAsia" w:ascii="仿宋" w:hAnsi="仿宋" w:eastAsia="仿宋" w:cs="宋体"/>
                <w:kern w:val="0"/>
                <w:sz w:val="18"/>
                <w:szCs w:val="18"/>
              </w:rPr>
              <w:t>（8分）</w:t>
            </w:r>
          </w:p>
        </w:tc>
        <w:tc>
          <w:tcPr>
            <w:tcW w:w="2480" w:type="dxa"/>
            <w:vMerge w:val="restart"/>
            <w:shd w:val="clear" w:color="auto" w:fill="auto"/>
            <w:vAlign w:val="center"/>
          </w:tcPr>
          <w:p w14:paraId="03A22F7A">
            <w:pPr>
              <w:widowControl/>
              <w:jc w:val="left"/>
              <w:rPr>
                <w:rFonts w:ascii="仿宋" w:hAnsi="仿宋" w:eastAsia="仿宋" w:cs="宋体"/>
                <w:kern w:val="0"/>
                <w:sz w:val="18"/>
                <w:szCs w:val="18"/>
              </w:rPr>
            </w:pPr>
            <w:r>
              <w:rPr>
                <w:rFonts w:hint="eastAsia" w:ascii="仿宋" w:hAnsi="仿宋" w:eastAsia="仿宋" w:cs="宋体"/>
                <w:kern w:val="0"/>
                <w:sz w:val="18"/>
                <w:szCs w:val="18"/>
              </w:rPr>
              <w:t>绩效目标合理性（4分）</w:t>
            </w:r>
          </w:p>
        </w:tc>
        <w:tc>
          <w:tcPr>
            <w:tcW w:w="3680" w:type="dxa"/>
            <w:shd w:val="clear" w:color="auto" w:fill="auto"/>
            <w:vAlign w:val="center"/>
          </w:tcPr>
          <w:p w14:paraId="635342B4">
            <w:pPr>
              <w:widowControl/>
              <w:jc w:val="left"/>
              <w:rPr>
                <w:rFonts w:ascii="仿宋" w:hAnsi="仿宋" w:eastAsia="仿宋" w:cs="宋体"/>
                <w:kern w:val="0"/>
                <w:sz w:val="18"/>
                <w:szCs w:val="18"/>
              </w:rPr>
            </w:pPr>
            <w:r>
              <w:rPr>
                <w:rFonts w:hint="eastAsia" w:ascii="仿宋" w:hAnsi="仿宋" w:eastAsia="仿宋" w:cs="宋体"/>
                <w:kern w:val="0"/>
                <w:sz w:val="18"/>
                <w:szCs w:val="18"/>
              </w:rPr>
              <w:t>①  没有绩效目标不得分，计0分；</w:t>
            </w:r>
          </w:p>
        </w:tc>
        <w:tc>
          <w:tcPr>
            <w:tcW w:w="1060" w:type="dxa"/>
            <w:vMerge w:val="restart"/>
            <w:shd w:val="clear" w:color="auto" w:fill="auto"/>
            <w:noWrap/>
            <w:vAlign w:val="center"/>
          </w:tcPr>
          <w:p w14:paraId="39398DC2">
            <w:pPr>
              <w:widowControl/>
              <w:jc w:val="center"/>
              <w:rPr>
                <w:rFonts w:ascii="仿宋" w:hAnsi="仿宋" w:eastAsia="仿宋" w:cs="宋体"/>
                <w:kern w:val="0"/>
                <w:sz w:val="18"/>
                <w:szCs w:val="18"/>
              </w:rPr>
            </w:pPr>
            <w:r>
              <w:rPr>
                <w:rFonts w:hint="eastAsia" w:ascii="仿宋" w:hAnsi="仿宋" w:eastAsia="仿宋" w:cs="宋体"/>
                <w:kern w:val="0"/>
                <w:sz w:val="18"/>
                <w:szCs w:val="18"/>
              </w:rPr>
              <w:t>4</w:t>
            </w:r>
          </w:p>
        </w:tc>
      </w:tr>
      <w:tr w14:paraId="524C2654">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3335974C">
            <w:pPr>
              <w:widowControl/>
              <w:jc w:val="left"/>
              <w:rPr>
                <w:rFonts w:ascii="仿宋" w:hAnsi="仿宋" w:eastAsia="仿宋" w:cs="宋体"/>
                <w:kern w:val="0"/>
                <w:sz w:val="18"/>
                <w:szCs w:val="18"/>
              </w:rPr>
            </w:pPr>
          </w:p>
        </w:tc>
        <w:tc>
          <w:tcPr>
            <w:tcW w:w="1060" w:type="dxa"/>
            <w:vMerge w:val="continue"/>
            <w:shd w:val="clear" w:color="auto" w:fill="auto"/>
            <w:vAlign w:val="center"/>
          </w:tcPr>
          <w:p w14:paraId="24737AA8">
            <w:pPr>
              <w:widowControl/>
              <w:jc w:val="left"/>
              <w:rPr>
                <w:rFonts w:ascii="仿宋" w:hAnsi="仿宋" w:eastAsia="仿宋" w:cs="宋体"/>
                <w:kern w:val="0"/>
                <w:sz w:val="18"/>
                <w:szCs w:val="18"/>
              </w:rPr>
            </w:pPr>
          </w:p>
        </w:tc>
        <w:tc>
          <w:tcPr>
            <w:tcW w:w="2480" w:type="dxa"/>
            <w:vMerge w:val="continue"/>
            <w:shd w:val="clear" w:color="auto" w:fill="auto"/>
            <w:vAlign w:val="center"/>
          </w:tcPr>
          <w:p w14:paraId="25A3FBA3">
            <w:pPr>
              <w:widowControl/>
              <w:jc w:val="left"/>
              <w:rPr>
                <w:rFonts w:ascii="仿宋" w:hAnsi="仿宋" w:eastAsia="仿宋" w:cs="宋体"/>
                <w:kern w:val="0"/>
                <w:sz w:val="18"/>
                <w:szCs w:val="18"/>
              </w:rPr>
            </w:pPr>
          </w:p>
        </w:tc>
        <w:tc>
          <w:tcPr>
            <w:tcW w:w="3680" w:type="dxa"/>
            <w:shd w:val="clear" w:color="auto" w:fill="auto"/>
            <w:vAlign w:val="center"/>
          </w:tcPr>
          <w:p w14:paraId="78E47512">
            <w:pPr>
              <w:widowControl/>
              <w:jc w:val="left"/>
              <w:rPr>
                <w:rFonts w:ascii="仿宋" w:hAnsi="仿宋" w:eastAsia="仿宋" w:cs="宋体"/>
                <w:kern w:val="0"/>
                <w:sz w:val="18"/>
                <w:szCs w:val="18"/>
              </w:rPr>
            </w:pPr>
            <w:r>
              <w:rPr>
                <w:rFonts w:hint="eastAsia" w:ascii="仿宋" w:hAnsi="仿宋" w:eastAsia="仿宋" w:cs="宋体"/>
                <w:kern w:val="0"/>
                <w:sz w:val="18"/>
                <w:szCs w:val="18"/>
              </w:rPr>
              <w:t>②  绩效目标符合与政策紧密相关，计2分；</w:t>
            </w:r>
          </w:p>
        </w:tc>
        <w:tc>
          <w:tcPr>
            <w:tcW w:w="1060" w:type="dxa"/>
            <w:vMerge w:val="continue"/>
            <w:shd w:val="clear" w:color="auto" w:fill="auto"/>
            <w:vAlign w:val="center"/>
          </w:tcPr>
          <w:p w14:paraId="6F18769B">
            <w:pPr>
              <w:widowControl/>
              <w:jc w:val="left"/>
              <w:rPr>
                <w:rFonts w:ascii="仿宋" w:hAnsi="仿宋" w:eastAsia="仿宋" w:cs="宋体"/>
                <w:kern w:val="0"/>
                <w:sz w:val="18"/>
                <w:szCs w:val="18"/>
              </w:rPr>
            </w:pPr>
          </w:p>
        </w:tc>
      </w:tr>
      <w:tr w14:paraId="5712CEEA">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79C588C9">
            <w:pPr>
              <w:widowControl/>
              <w:jc w:val="left"/>
              <w:rPr>
                <w:rFonts w:ascii="仿宋" w:hAnsi="仿宋" w:eastAsia="仿宋" w:cs="宋体"/>
                <w:kern w:val="0"/>
                <w:sz w:val="18"/>
                <w:szCs w:val="18"/>
              </w:rPr>
            </w:pPr>
          </w:p>
        </w:tc>
        <w:tc>
          <w:tcPr>
            <w:tcW w:w="1060" w:type="dxa"/>
            <w:vMerge w:val="continue"/>
            <w:shd w:val="clear" w:color="auto" w:fill="auto"/>
            <w:vAlign w:val="center"/>
          </w:tcPr>
          <w:p w14:paraId="6FF39B9A">
            <w:pPr>
              <w:widowControl/>
              <w:jc w:val="left"/>
              <w:rPr>
                <w:rFonts w:ascii="仿宋" w:hAnsi="仿宋" w:eastAsia="仿宋" w:cs="宋体"/>
                <w:kern w:val="0"/>
                <w:sz w:val="18"/>
                <w:szCs w:val="18"/>
              </w:rPr>
            </w:pPr>
          </w:p>
        </w:tc>
        <w:tc>
          <w:tcPr>
            <w:tcW w:w="2480" w:type="dxa"/>
            <w:vMerge w:val="continue"/>
            <w:shd w:val="clear" w:color="auto" w:fill="auto"/>
            <w:vAlign w:val="center"/>
          </w:tcPr>
          <w:p w14:paraId="003EEA97">
            <w:pPr>
              <w:widowControl/>
              <w:jc w:val="left"/>
              <w:rPr>
                <w:rFonts w:ascii="仿宋" w:hAnsi="仿宋" w:eastAsia="仿宋" w:cs="宋体"/>
                <w:kern w:val="0"/>
                <w:sz w:val="18"/>
                <w:szCs w:val="18"/>
              </w:rPr>
            </w:pPr>
          </w:p>
        </w:tc>
        <w:tc>
          <w:tcPr>
            <w:tcW w:w="3680" w:type="dxa"/>
            <w:shd w:val="clear" w:color="auto" w:fill="auto"/>
            <w:vAlign w:val="center"/>
          </w:tcPr>
          <w:p w14:paraId="54CD069F">
            <w:pPr>
              <w:widowControl/>
              <w:jc w:val="left"/>
              <w:rPr>
                <w:rFonts w:ascii="仿宋" w:hAnsi="仿宋" w:eastAsia="仿宋" w:cs="宋体"/>
                <w:kern w:val="0"/>
                <w:sz w:val="18"/>
                <w:szCs w:val="18"/>
              </w:rPr>
            </w:pPr>
            <w:r>
              <w:rPr>
                <w:rFonts w:hint="eastAsia" w:ascii="仿宋" w:hAnsi="仿宋" w:eastAsia="仿宋" w:cs="宋体"/>
                <w:kern w:val="0"/>
                <w:sz w:val="18"/>
                <w:szCs w:val="18"/>
              </w:rPr>
              <w:t>③  绩效目标符合可实现性，计2分。</w:t>
            </w:r>
          </w:p>
        </w:tc>
        <w:tc>
          <w:tcPr>
            <w:tcW w:w="1060" w:type="dxa"/>
            <w:vMerge w:val="continue"/>
            <w:shd w:val="clear" w:color="auto" w:fill="auto"/>
            <w:vAlign w:val="center"/>
          </w:tcPr>
          <w:p w14:paraId="53C91FF5">
            <w:pPr>
              <w:widowControl/>
              <w:jc w:val="left"/>
              <w:rPr>
                <w:rFonts w:ascii="仿宋" w:hAnsi="仿宋" w:eastAsia="仿宋" w:cs="宋体"/>
                <w:kern w:val="0"/>
                <w:sz w:val="18"/>
                <w:szCs w:val="18"/>
              </w:rPr>
            </w:pPr>
          </w:p>
        </w:tc>
      </w:tr>
      <w:tr w14:paraId="10C22D8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80" w:hRule="atLeast"/>
        </w:trPr>
        <w:tc>
          <w:tcPr>
            <w:tcW w:w="1060" w:type="dxa"/>
            <w:vMerge w:val="continue"/>
            <w:shd w:val="clear" w:color="auto" w:fill="auto"/>
            <w:vAlign w:val="center"/>
          </w:tcPr>
          <w:p w14:paraId="50E908B3">
            <w:pPr>
              <w:widowControl/>
              <w:jc w:val="left"/>
              <w:rPr>
                <w:rFonts w:ascii="仿宋" w:hAnsi="仿宋" w:eastAsia="仿宋" w:cs="宋体"/>
                <w:kern w:val="0"/>
                <w:sz w:val="18"/>
                <w:szCs w:val="18"/>
              </w:rPr>
            </w:pPr>
          </w:p>
        </w:tc>
        <w:tc>
          <w:tcPr>
            <w:tcW w:w="1060" w:type="dxa"/>
            <w:vMerge w:val="continue"/>
            <w:shd w:val="clear" w:color="auto" w:fill="auto"/>
            <w:vAlign w:val="center"/>
          </w:tcPr>
          <w:p w14:paraId="196127AF">
            <w:pPr>
              <w:widowControl/>
              <w:jc w:val="left"/>
              <w:rPr>
                <w:rFonts w:ascii="仿宋" w:hAnsi="仿宋" w:eastAsia="仿宋" w:cs="宋体"/>
                <w:kern w:val="0"/>
                <w:sz w:val="18"/>
                <w:szCs w:val="18"/>
              </w:rPr>
            </w:pPr>
          </w:p>
        </w:tc>
        <w:tc>
          <w:tcPr>
            <w:tcW w:w="2480" w:type="dxa"/>
            <w:vMerge w:val="restart"/>
            <w:shd w:val="clear" w:color="auto" w:fill="auto"/>
            <w:vAlign w:val="center"/>
          </w:tcPr>
          <w:p w14:paraId="658CCD8D">
            <w:pPr>
              <w:widowControl/>
              <w:jc w:val="left"/>
              <w:rPr>
                <w:rFonts w:ascii="仿宋" w:hAnsi="仿宋" w:eastAsia="仿宋" w:cs="宋体"/>
                <w:kern w:val="0"/>
                <w:sz w:val="18"/>
                <w:szCs w:val="18"/>
              </w:rPr>
            </w:pPr>
            <w:r>
              <w:rPr>
                <w:rFonts w:hint="eastAsia" w:ascii="仿宋" w:hAnsi="仿宋" w:eastAsia="仿宋" w:cs="宋体"/>
                <w:kern w:val="0"/>
                <w:sz w:val="18"/>
                <w:szCs w:val="18"/>
              </w:rPr>
              <w:t xml:space="preserve">绩效指标明确性（4分） </w:t>
            </w:r>
          </w:p>
        </w:tc>
        <w:tc>
          <w:tcPr>
            <w:tcW w:w="3680" w:type="dxa"/>
            <w:shd w:val="clear" w:color="auto" w:fill="auto"/>
            <w:vAlign w:val="center"/>
          </w:tcPr>
          <w:p w14:paraId="69569FEE">
            <w:pPr>
              <w:widowControl/>
              <w:jc w:val="left"/>
              <w:rPr>
                <w:rFonts w:ascii="仿宋" w:hAnsi="仿宋" w:eastAsia="仿宋" w:cs="宋体"/>
                <w:kern w:val="0"/>
                <w:sz w:val="18"/>
                <w:szCs w:val="18"/>
              </w:rPr>
            </w:pPr>
            <w:r>
              <w:rPr>
                <w:rFonts w:hint="eastAsia" w:ascii="仿宋" w:hAnsi="仿宋" w:eastAsia="仿宋" w:cs="宋体"/>
                <w:kern w:val="0"/>
                <w:sz w:val="18"/>
                <w:szCs w:val="18"/>
              </w:rPr>
              <w:t>①  绩效指标符合细化量化，通过清晰、可衡量的指标值予以体现，计2分；</w:t>
            </w:r>
          </w:p>
        </w:tc>
        <w:tc>
          <w:tcPr>
            <w:tcW w:w="1060" w:type="dxa"/>
            <w:vMerge w:val="restart"/>
            <w:shd w:val="clear" w:color="auto" w:fill="auto"/>
            <w:noWrap/>
            <w:vAlign w:val="center"/>
          </w:tcPr>
          <w:p w14:paraId="4BBB7C37">
            <w:pPr>
              <w:widowControl/>
              <w:jc w:val="center"/>
              <w:rPr>
                <w:rFonts w:ascii="仿宋" w:hAnsi="仿宋" w:eastAsia="仿宋" w:cs="宋体"/>
                <w:kern w:val="0"/>
                <w:sz w:val="18"/>
                <w:szCs w:val="18"/>
              </w:rPr>
            </w:pPr>
            <w:r>
              <w:rPr>
                <w:rFonts w:hint="eastAsia" w:ascii="仿宋" w:hAnsi="仿宋" w:eastAsia="仿宋" w:cs="宋体"/>
                <w:kern w:val="0"/>
                <w:sz w:val="18"/>
                <w:szCs w:val="18"/>
              </w:rPr>
              <w:t>4</w:t>
            </w:r>
          </w:p>
        </w:tc>
      </w:tr>
      <w:tr w14:paraId="10806F22">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05F6309E">
            <w:pPr>
              <w:widowControl/>
              <w:jc w:val="left"/>
              <w:rPr>
                <w:rFonts w:ascii="仿宋" w:hAnsi="仿宋" w:eastAsia="仿宋" w:cs="宋体"/>
                <w:kern w:val="0"/>
                <w:sz w:val="18"/>
                <w:szCs w:val="18"/>
              </w:rPr>
            </w:pPr>
          </w:p>
        </w:tc>
        <w:tc>
          <w:tcPr>
            <w:tcW w:w="1060" w:type="dxa"/>
            <w:vMerge w:val="continue"/>
            <w:shd w:val="clear" w:color="auto" w:fill="auto"/>
            <w:vAlign w:val="center"/>
          </w:tcPr>
          <w:p w14:paraId="08F81D81">
            <w:pPr>
              <w:widowControl/>
              <w:jc w:val="left"/>
              <w:rPr>
                <w:rFonts w:ascii="仿宋" w:hAnsi="仿宋" w:eastAsia="仿宋" w:cs="宋体"/>
                <w:kern w:val="0"/>
                <w:sz w:val="18"/>
                <w:szCs w:val="18"/>
              </w:rPr>
            </w:pPr>
          </w:p>
        </w:tc>
        <w:tc>
          <w:tcPr>
            <w:tcW w:w="2480" w:type="dxa"/>
            <w:vMerge w:val="continue"/>
            <w:shd w:val="clear" w:color="auto" w:fill="auto"/>
            <w:vAlign w:val="center"/>
          </w:tcPr>
          <w:p w14:paraId="363C4821">
            <w:pPr>
              <w:widowControl/>
              <w:jc w:val="left"/>
              <w:rPr>
                <w:rFonts w:ascii="仿宋" w:hAnsi="仿宋" w:eastAsia="仿宋" w:cs="宋体"/>
                <w:kern w:val="0"/>
                <w:sz w:val="18"/>
                <w:szCs w:val="18"/>
              </w:rPr>
            </w:pPr>
          </w:p>
        </w:tc>
        <w:tc>
          <w:tcPr>
            <w:tcW w:w="3680" w:type="dxa"/>
            <w:shd w:val="clear" w:color="auto" w:fill="auto"/>
            <w:vAlign w:val="center"/>
          </w:tcPr>
          <w:p w14:paraId="000F724F">
            <w:pPr>
              <w:widowControl/>
              <w:jc w:val="left"/>
              <w:rPr>
                <w:rFonts w:ascii="仿宋" w:hAnsi="仿宋" w:eastAsia="仿宋" w:cs="宋体"/>
                <w:kern w:val="0"/>
                <w:sz w:val="18"/>
                <w:szCs w:val="18"/>
              </w:rPr>
            </w:pPr>
            <w:r>
              <w:rPr>
                <w:rFonts w:hint="eastAsia" w:ascii="仿宋" w:hAnsi="仿宋" w:eastAsia="仿宋" w:cs="宋体"/>
                <w:kern w:val="0"/>
                <w:sz w:val="18"/>
                <w:szCs w:val="18"/>
              </w:rPr>
              <w:t>②  绩效指标符合具有时效性，计2分。</w:t>
            </w:r>
          </w:p>
        </w:tc>
        <w:tc>
          <w:tcPr>
            <w:tcW w:w="1060" w:type="dxa"/>
            <w:vMerge w:val="continue"/>
            <w:shd w:val="clear" w:color="auto" w:fill="auto"/>
            <w:vAlign w:val="center"/>
          </w:tcPr>
          <w:p w14:paraId="7CE9C5E7">
            <w:pPr>
              <w:widowControl/>
              <w:jc w:val="left"/>
              <w:rPr>
                <w:rFonts w:ascii="仿宋" w:hAnsi="仿宋" w:eastAsia="仿宋" w:cs="宋体"/>
                <w:kern w:val="0"/>
                <w:sz w:val="18"/>
                <w:szCs w:val="18"/>
              </w:rPr>
            </w:pPr>
          </w:p>
        </w:tc>
      </w:tr>
      <w:tr w14:paraId="719D502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trPr>
        <w:tc>
          <w:tcPr>
            <w:tcW w:w="1060" w:type="dxa"/>
            <w:vMerge w:val="restart"/>
            <w:shd w:val="clear" w:color="auto" w:fill="auto"/>
            <w:vAlign w:val="center"/>
          </w:tcPr>
          <w:p w14:paraId="72B6213A">
            <w:pPr>
              <w:widowControl/>
              <w:jc w:val="center"/>
              <w:rPr>
                <w:rFonts w:ascii="仿宋" w:hAnsi="仿宋" w:eastAsia="仿宋" w:cs="宋体"/>
                <w:kern w:val="0"/>
                <w:sz w:val="18"/>
                <w:szCs w:val="18"/>
              </w:rPr>
            </w:pPr>
            <w:r>
              <w:rPr>
                <w:rFonts w:hint="eastAsia" w:ascii="仿宋" w:hAnsi="仿宋" w:eastAsia="仿宋" w:cs="宋体"/>
                <w:kern w:val="0"/>
                <w:sz w:val="18"/>
                <w:szCs w:val="18"/>
              </w:rPr>
              <w:t>过程</w:t>
            </w:r>
            <w:r>
              <w:rPr>
                <w:rFonts w:hint="eastAsia" w:ascii="仿宋" w:hAnsi="仿宋" w:eastAsia="仿宋" w:cs="宋体"/>
                <w:kern w:val="0"/>
                <w:sz w:val="18"/>
                <w:szCs w:val="18"/>
              </w:rPr>
              <w:br w:type="textWrapping"/>
            </w:r>
            <w:r>
              <w:rPr>
                <w:rFonts w:hint="eastAsia" w:ascii="仿宋" w:hAnsi="仿宋" w:eastAsia="仿宋" w:cs="宋体"/>
                <w:kern w:val="0"/>
                <w:sz w:val="18"/>
                <w:szCs w:val="18"/>
              </w:rPr>
              <w:t>（24分）</w:t>
            </w:r>
          </w:p>
        </w:tc>
        <w:tc>
          <w:tcPr>
            <w:tcW w:w="1060" w:type="dxa"/>
            <w:vMerge w:val="restart"/>
            <w:shd w:val="clear" w:color="auto" w:fill="auto"/>
            <w:vAlign w:val="center"/>
          </w:tcPr>
          <w:p w14:paraId="20220B66">
            <w:pPr>
              <w:widowControl/>
              <w:jc w:val="center"/>
              <w:rPr>
                <w:rFonts w:ascii="仿宋" w:hAnsi="仿宋" w:eastAsia="仿宋" w:cs="宋体"/>
                <w:kern w:val="0"/>
                <w:sz w:val="18"/>
                <w:szCs w:val="18"/>
              </w:rPr>
            </w:pPr>
            <w:r>
              <w:rPr>
                <w:rFonts w:hint="eastAsia" w:ascii="仿宋" w:hAnsi="仿宋" w:eastAsia="仿宋" w:cs="宋体"/>
                <w:kern w:val="0"/>
                <w:sz w:val="18"/>
                <w:szCs w:val="18"/>
              </w:rPr>
              <w:t>资金管理（12分）</w:t>
            </w:r>
          </w:p>
        </w:tc>
        <w:tc>
          <w:tcPr>
            <w:tcW w:w="2480" w:type="dxa"/>
            <w:vMerge w:val="restart"/>
            <w:shd w:val="clear" w:color="auto" w:fill="auto"/>
            <w:vAlign w:val="center"/>
          </w:tcPr>
          <w:p w14:paraId="617FE0CF">
            <w:pPr>
              <w:widowControl/>
              <w:jc w:val="left"/>
              <w:rPr>
                <w:rFonts w:ascii="仿宋" w:hAnsi="仿宋" w:eastAsia="仿宋" w:cs="宋体"/>
                <w:kern w:val="0"/>
                <w:sz w:val="18"/>
                <w:szCs w:val="18"/>
              </w:rPr>
            </w:pPr>
            <w:r>
              <w:rPr>
                <w:rFonts w:hint="eastAsia" w:ascii="仿宋" w:hAnsi="仿宋" w:eastAsia="仿宋" w:cs="宋体"/>
                <w:kern w:val="0"/>
                <w:sz w:val="18"/>
                <w:szCs w:val="18"/>
              </w:rPr>
              <w:t>资金到位率（3分）</w:t>
            </w:r>
          </w:p>
        </w:tc>
        <w:tc>
          <w:tcPr>
            <w:tcW w:w="3680" w:type="dxa"/>
            <w:shd w:val="clear" w:color="auto" w:fill="auto"/>
            <w:vAlign w:val="center"/>
          </w:tcPr>
          <w:p w14:paraId="19C33CD6">
            <w:pPr>
              <w:widowControl/>
              <w:jc w:val="left"/>
              <w:rPr>
                <w:rFonts w:ascii="仿宋" w:hAnsi="仿宋" w:eastAsia="仿宋" w:cs="宋体"/>
                <w:kern w:val="0"/>
                <w:sz w:val="18"/>
                <w:szCs w:val="18"/>
              </w:rPr>
            </w:pPr>
            <w:r>
              <w:rPr>
                <w:rFonts w:hint="eastAsia" w:ascii="仿宋" w:hAnsi="仿宋" w:eastAsia="仿宋" w:cs="宋体"/>
                <w:kern w:val="0"/>
                <w:sz w:val="18"/>
                <w:szCs w:val="18"/>
              </w:rPr>
              <w:t>资金到位率=（实际到位资金/预算投入资金）×100%</w:t>
            </w:r>
          </w:p>
        </w:tc>
        <w:tc>
          <w:tcPr>
            <w:tcW w:w="1060" w:type="dxa"/>
            <w:vMerge w:val="restart"/>
            <w:shd w:val="clear" w:color="auto" w:fill="auto"/>
            <w:noWrap/>
            <w:vAlign w:val="center"/>
          </w:tcPr>
          <w:p w14:paraId="1283F2B3">
            <w:pPr>
              <w:widowControl/>
              <w:jc w:val="center"/>
              <w:rPr>
                <w:rFonts w:ascii="仿宋" w:hAnsi="仿宋" w:eastAsia="仿宋" w:cs="宋体"/>
                <w:kern w:val="0"/>
                <w:sz w:val="18"/>
                <w:szCs w:val="18"/>
              </w:rPr>
            </w:pPr>
            <w:r>
              <w:rPr>
                <w:rFonts w:hint="eastAsia" w:ascii="仿宋" w:hAnsi="仿宋" w:eastAsia="仿宋" w:cs="宋体"/>
                <w:kern w:val="0"/>
                <w:sz w:val="18"/>
                <w:szCs w:val="18"/>
              </w:rPr>
              <w:t>3</w:t>
            </w:r>
          </w:p>
        </w:tc>
      </w:tr>
      <w:tr w14:paraId="5EFD0C6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6C1A7823">
            <w:pPr>
              <w:widowControl/>
              <w:jc w:val="left"/>
              <w:rPr>
                <w:rFonts w:ascii="仿宋" w:hAnsi="仿宋" w:eastAsia="仿宋" w:cs="宋体"/>
                <w:kern w:val="0"/>
                <w:sz w:val="18"/>
                <w:szCs w:val="18"/>
              </w:rPr>
            </w:pPr>
          </w:p>
        </w:tc>
        <w:tc>
          <w:tcPr>
            <w:tcW w:w="1060" w:type="dxa"/>
            <w:vMerge w:val="continue"/>
            <w:shd w:val="clear" w:color="auto" w:fill="auto"/>
            <w:vAlign w:val="center"/>
          </w:tcPr>
          <w:p w14:paraId="45FBBE68">
            <w:pPr>
              <w:widowControl/>
              <w:jc w:val="left"/>
              <w:rPr>
                <w:rFonts w:ascii="仿宋" w:hAnsi="仿宋" w:eastAsia="仿宋" w:cs="宋体"/>
                <w:kern w:val="0"/>
                <w:sz w:val="18"/>
                <w:szCs w:val="18"/>
              </w:rPr>
            </w:pPr>
          </w:p>
        </w:tc>
        <w:tc>
          <w:tcPr>
            <w:tcW w:w="2480" w:type="dxa"/>
            <w:vMerge w:val="continue"/>
            <w:shd w:val="clear" w:color="auto" w:fill="auto"/>
            <w:vAlign w:val="center"/>
          </w:tcPr>
          <w:p w14:paraId="3AB32D20">
            <w:pPr>
              <w:widowControl/>
              <w:jc w:val="left"/>
              <w:rPr>
                <w:rFonts w:ascii="仿宋" w:hAnsi="仿宋" w:eastAsia="仿宋" w:cs="宋体"/>
                <w:kern w:val="0"/>
                <w:sz w:val="18"/>
                <w:szCs w:val="18"/>
              </w:rPr>
            </w:pPr>
          </w:p>
        </w:tc>
        <w:tc>
          <w:tcPr>
            <w:tcW w:w="3680" w:type="dxa"/>
            <w:shd w:val="clear" w:color="auto" w:fill="auto"/>
            <w:vAlign w:val="center"/>
          </w:tcPr>
          <w:p w14:paraId="498F1C20">
            <w:pPr>
              <w:widowControl/>
              <w:jc w:val="left"/>
              <w:rPr>
                <w:rFonts w:ascii="仿宋" w:hAnsi="仿宋" w:eastAsia="仿宋" w:cs="宋体"/>
                <w:kern w:val="0"/>
                <w:sz w:val="18"/>
                <w:szCs w:val="18"/>
              </w:rPr>
            </w:pPr>
            <w:r>
              <w:rPr>
                <w:rFonts w:hint="eastAsia" w:ascii="仿宋" w:hAnsi="仿宋" w:eastAsia="仿宋" w:cs="宋体"/>
                <w:kern w:val="0"/>
                <w:sz w:val="18"/>
                <w:szCs w:val="18"/>
              </w:rPr>
              <w:t>①  资金到位率达到100%，计3分；</w:t>
            </w:r>
          </w:p>
        </w:tc>
        <w:tc>
          <w:tcPr>
            <w:tcW w:w="1060" w:type="dxa"/>
            <w:vMerge w:val="continue"/>
            <w:shd w:val="clear" w:color="auto" w:fill="auto"/>
            <w:vAlign w:val="center"/>
          </w:tcPr>
          <w:p w14:paraId="58F89FA1">
            <w:pPr>
              <w:widowControl/>
              <w:jc w:val="left"/>
              <w:rPr>
                <w:rFonts w:ascii="仿宋" w:hAnsi="仿宋" w:eastAsia="仿宋" w:cs="宋体"/>
                <w:kern w:val="0"/>
                <w:sz w:val="18"/>
                <w:szCs w:val="18"/>
              </w:rPr>
            </w:pPr>
          </w:p>
        </w:tc>
      </w:tr>
      <w:tr w14:paraId="3749AEEA">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6" w:hRule="atLeast"/>
        </w:trPr>
        <w:tc>
          <w:tcPr>
            <w:tcW w:w="1060" w:type="dxa"/>
            <w:vMerge w:val="continue"/>
            <w:shd w:val="clear" w:color="auto" w:fill="auto"/>
            <w:vAlign w:val="center"/>
          </w:tcPr>
          <w:p w14:paraId="27FD64D7">
            <w:pPr>
              <w:widowControl/>
              <w:jc w:val="left"/>
              <w:rPr>
                <w:rFonts w:ascii="仿宋" w:hAnsi="仿宋" w:eastAsia="仿宋" w:cs="宋体"/>
                <w:kern w:val="0"/>
                <w:sz w:val="18"/>
                <w:szCs w:val="18"/>
              </w:rPr>
            </w:pPr>
          </w:p>
        </w:tc>
        <w:tc>
          <w:tcPr>
            <w:tcW w:w="1060" w:type="dxa"/>
            <w:vMerge w:val="continue"/>
            <w:shd w:val="clear" w:color="auto" w:fill="auto"/>
            <w:vAlign w:val="center"/>
          </w:tcPr>
          <w:p w14:paraId="5A8F20AE">
            <w:pPr>
              <w:widowControl/>
              <w:jc w:val="left"/>
              <w:rPr>
                <w:rFonts w:ascii="仿宋" w:hAnsi="仿宋" w:eastAsia="仿宋" w:cs="宋体"/>
                <w:kern w:val="0"/>
                <w:sz w:val="18"/>
                <w:szCs w:val="18"/>
              </w:rPr>
            </w:pPr>
          </w:p>
        </w:tc>
        <w:tc>
          <w:tcPr>
            <w:tcW w:w="2480" w:type="dxa"/>
            <w:vMerge w:val="continue"/>
            <w:shd w:val="clear" w:color="auto" w:fill="auto"/>
            <w:vAlign w:val="center"/>
          </w:tcPr>
          <w:p w14:paraId="34C5989C">
            <w:pPr>
              <w:widowControl/>
              <w:jc w:val="left"/>
              <w:rPr>
                <w:rFonts w:ascii="仿宋" w:hAnsi="仿宋" w:eastAsia="仿宋" w:cs="宋体"/>
                <w:kern w:val="0"/>
                <w:sz w:val="18"/>
                <w:szCs w:val="18"/>
              </w:rPr>
            </w:pPr>
          </w:p>
        </w:tc>
        <w:tc>
          <w:tcPr>
            <w:tcW w:w="3680" w:type="dxa"/>
            <w:shd w:val="clear" w:color="auto" w:fill="auto"/>
            <w:vAlign w:val="center"/>
          </w:tcPr>
          <w:p w14:paraId="44522F17">
            <w:pPr>
              <w:widowControl/>
              <w:jc w:val="left"/>
              <w:rPr>
                <w:rFonts w:ascii="仿宋" w:hAnsi="仿宋" w:eastAsia="仿宋" w:cs="宋体"/>
                <w:kern w:val="0"/>
                <w:sz w:val="18"/>
                <w:szCs w:val="18"/>
              </w:rPr>
            </w:pPr>
            <w:r>
              <w:rPr>
                <w:rFonts w:hint="eastAsia" w:ascii="仿宋" w:hAnsi="仿宋" w:eastAsia="仿宋" w:cs="宋体"/>
                <w:kern w:val="0"/>
                <w:sz w:val="18"/>
                <w:szCs w:val="18"/>
              </w:rPr>
              <w:t>②  资金到位率在100%以下，按实际资金到位率与100%的比值，乘以3分计分。</w:t>
            </w:r>
          </w:p>
        </w:tc>
        <w:tc>
          <w:tcPr>
            <w:tcW w:w="1060" w:type="dxa"/>
            <w:vMerge w:val="continue"/>
            <w:shd w:val="clear" w:color="auto" w:fill="auto"/>
            <w:vAlign w:val="center"/>
          </w:tcPr>
          <w:p w14:paraId="2E2543E5">
            <w:pPr>
              <w:widowControl/>
              <w:jc w:val="left"/>
              <w:rPr>
                <w:rFonts w:ascii="仿宋" w:hAnsi="仿宋" w:eastAsia="仿宋" w:cs="宋体"/>
                <w:kern w:val="0"/>
                <w:sz w:val="18"/>
                <w:szCs w:val="18"/>
              </w:rPr>
            </w:pPr>
          </w:p>
        </w:tc>
      </w:tr>
      <w:tr w14:paraId="2FE6402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trPr>
        <w:tc>
          <w:tcPr>
            <w:tcW w:w="1060" w:type="dxa"/>
            <w:vMerge w:val="continue"/>
            <w:shd w:val="clear" w:color="auto" w:fill="auto"/>
            <w:vAlign w:val="center"/>
          </w:tcPr>
          <w:p w14:paraId="6DD86FB9">
            <w:pPr>
              <w:widowControl/>
              <w:jc w:val="left"/>
              <w:rPr>
                <w:rFonts w:ascii="仿宋" w:hAnsi="仿宋" w:eastAsia="仿宋" w:cs="宋体"/>
                <w:kern w:val="0"/>
                <w:sz w:val="18"/>
                <w:szCs w:val="18"/>
              </w:rPr>
            </w:pPr>
          </w:p>
        </w:tc>
        <w:tc>
          <w:tcPr>
            <w:tcW w:w="1060" w:type="dxa"/>
            <w:vMerge w:val="continue"/>
            <w:shd w:val="clear" w:color="auto" w:fill="auto"/>
            <w:vAlign w:val="center"/>
          </w:tcPr>
          <w:p w14:paraId="7D612D7D">
            <w:pPr>
              <w:widowControl/>
              <w:jc w:val="left"/>
              <w:rPr>
                <w:rFonts w:ascii="仿宋" w:hAnsi="仿宋" w:eastAsia="仿宋" w:cs="宋体"/>
                <w:kern w:val="0"/>
                <w:sz w:val="18"/>
                <w:szCs w:val="18"/>
              </w:rPr>
            </w:pPr>
          </w:p>
        </w:tc>
        <w:tc>
          <w:tcPr>
            <w:tcW w:w="2480" w:type="dxa"/>
            <w:vMerge w:val="restart"/>
            <w:shd w:val="clear" w:color="auto" w:fill="auto"/>
            <w:vAlign w:val="center"/>
          </w:tcPr>
          <w:p w14:paraId="194429DF">
            <w:pPr>
              <w:widowControl/>
              <w:jc w:val="left"/>
              <w:rPr>
                <w:rFonts w:ascii="仿宋" w:hAnsi="仿宋" w:eastAsia="仿宋" w:cs="宋体"/>
                <w:kern w:val="0"/>
                <w:sz w:val="18"/>
                <w:szCs w:val="18"/>
              </w:rPr>
            </w:pPr>
            <w:r>
              <w:rPr>
                <w:rFonts w:hint="eastAsia" w:ascii="仿宋" w:hAnsi="仿宋" w:eastAsia="仿宋" w:cs="宋体"/>
                <w:kern w:val="0"/>
                <w:sz w:val="18"/>
                <w:szCs w:val="18"/>
              </w:rPr>
              <w:t>资金执行率（3分）</w:t>
            </w:r>
          </w:p>
        </w:tc>
        <w:tc>
          <w:tcPr>
            <w:tcW w:w="3680" w:type="dxa"/>
            <w:shd w:val="clear" w:color="auto" w:fill="auto"/>
            <w:vAlign w:val="center"/>
          </w:tcPr>
          <w:p w14:paraId="47C55F51">
            <w:pPr>
              <w:widowControl/>
              <w:jc w:val="left"/>
              <w:rPr>
                <w:rFonts w:ascii="仿宋" w:hAnsi="仿宋" w:eastAsia="仿宋" w:cs="宋体"/>
                <w:kern w:val="0"/>
                <w:sz w:val="18"/>
                <w:szCs w:val="18"/>
              </w:rPr>
            </w:pPr>
            <w:r>
              <w:rPr>
                <w:rFonts w:hint="eastAsia" w:ascii="仿宋" w:hAnsi="仿宋" w:eastAsia="仿宋" w:cs="宋体"/>
                <w:kern w:val="0"/>
                <w:sz w:val="18"/>
                <w:szCs w:val="18"/>
              </w:rPr>
              <w:t>资金执行率=（实际支出资金/实际到位资金）×100%</w:t>
            </w:r>
          </w:p>
        </w:tc>
        <w:tc>
          <w:tcPr>
            <w:tcW w:w="1060" w:type="dxa"/>
            <w:vMerge w:val="restart"/>
            <w:shd w:val="clear" w:color="auto" w:fill="auto"/>
            <w:noWrap/>
            <w:vAlign w:val="center"/>
          </w:tcPr>
          <w:p w14:paraId="6B9896B0">
            <w:pPr>
              <w:widowControl/>
              <w:jc w:val="center"/>
              <w:rPr>
                <w:rFonts w:ascii="仿宋" w:hAnsi="仿宋" w:eastAsia="仿宋" w:cs="宋体"/>
                <w:kern w:val="0"/>
                <w:sz w:val="18"/>
                <w:szCs w:val="18"/>
              </w:rPr>
            </w:pPr>
            <w:r>
              <w:rPr>
                <w:rFonts w:hint="eastAsia" w:ascii="仿宋" w:hAnsi="仿宋" w:eastAsia="仿宋" w:cs="宋体"/>
                <w:kern w:val="0"/>
                <w:sz w:val="18"/>
                <w:szCs w:val="18"/>
              </w:rPr>
              <w:t>3</w:t>
            </w:r>
          </w:p>
        </w:tc>
      </w:tr>
      <w:tr w14:paraId="05849556">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03BBADAF">
            <w:pPr>
              <w:widowControl/>
              <w:jc w:val="left"/>
              <w:rPr>
                <w:rFonts w:ascii="仿宋" w:hAnsi="仿宋" w:eastAsia="仿宋" w:cs="宋体"/>
                <w:kern w:val="0"/>
                <w:sz w:val="18"/>
                <w:szCs w:val="18"/>
              </w:rPr>
            </w:pPr>
          </w:p>
        </w:tc>
        <w:tc>
          <w:tcPr>
            <w:tcW w:w="1060" w:type="dxa"/>
            <w:vMerge w:val="continue"/>
            <w:shd w:val="clear" w:color="auto" w:fill="auto"/>
            <w:vAlign w:val="center"/>
          </w:tcPr>
          <w:p w14:paraId="0C746FDE">
            <w:pPr>
              <w:widowControl/>
              <w:jc w:val="left"/>
              <w:rPr>
                <w:rFonts w:ascii="仿宋" w:hAnsi="仿宋" w:eastAsia="仿宋" w:cs="宋体"/>
                <w:kern w:val="0"/>
                <w:sz w:val="18"/>
                <w:szCs w:val="18"/>
              </w:rPr>
            </w:pPr>
          </w:p>
        </w:tc>
        <w:tc>
          <w:tcPr>
            <w:tcW w:w="2480" w:type="dxa"/>
            <w:vMerge w:val="continue"/>
            <w:shd w:val="clear" w:color="auto" w:fill="auto"/>
            <w:vAlign w:val="center"/>
          </w:tcPr>
          <w:p w14:paraId="1ABB546D">
            <w:pPr>
              <w:widowControl/>
              <w:jc w:val="left"/>
              <w:rPr>
                <w:rFonts w:ascii="仿宋" w:hAnsi="仿宋" w:eastAsia="仿宋" w:cs="宋体"/>
                <w:kern w:val="0"/>
                <w:sz w:val="18"/>
                <w:szCs w:val="18"/>
              </w:rPr>
            </w:pPr>
          </w:p>
        </w:tc>
        <w:tc>
          <w:tcPr>
            <w:tcW w:w="3680" w:type="dxa"/>
            <w:shd w:val="clear" w:color="auto" w:fill="auto"/>
            <w:vAlign w:val="center"/>
          </w:tcPr>
          <w:p w14:paraId="5083FBC6">
            <w:pPr>
              <w:widowControl/>
              <w:jc w:val="left"/>
              <w:rPr>
                <w:rFonts w:ascii="仿宋" w:hAnsi="仿宋" w:eastAsia="仿宋" w:cs="宋体"/>
                <w:kern w:val="0"/>
                <w:sz w:val="18"/>
                <w:szCs w:val="18"/>
              </w:rPr>
            </w:pPr>
            <w:r>
              <w:rPr>
                <w:rFonts w:hint="eastAsia" w:ascii="仿宋" w:hAnsi="仿宋" w:eastAsia="仿宋" w:cs="宋体"/>
                <w:kern w:val="0"/>
                <w:sz w:val="18"/>
                <w:szCs w:val="18"/>
              </w:rPr>
              <w:t>①  资金执行率达到100%，计3分；</w:t>
            </w:r>
          </w:p>
        </w:tc>
        <w:tc>
          <w:tcPr>
            <w:tcW w:w="1060" w:type="dxa"/>
            <w:vMerge w:val="continue"/>
            <w:shd w:val="clear" w:color="auto" w:fill="auto"/>
            <w:vAlign w:val="center"/>
          </w:tcPr>
          <w:p w14:paraId="29E7B368">
            <w:pPr>
              <w:widowControl/>
              <w:jc w:val="left"/>
              <w:rPr>
                <w:rFonts w:ascii="仿宋" w:hAnsi="仿宋" w:eastAsia="仿宋" w:cs="宋体"/>
                <w:kern w:val="0"/>
                <w:sz w:val="18"/>
                <w:szCs w:val="18"/>
              </w:rPr>
            </w:pPr>
          </w:p>
        </w:tc>
      </w:tr>
      <w:tr w14:paraId="7908BD1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63" w:hRule="atLeast"/>
        </w:trPr>
        <w:tc>
          <w:tcPr>
            <w:tcW w:w="1060" w:type="dxa"/>
            <w:vMerge w:val="continue"/>
            <w:shd w:val="clear" w:color="auto" w:fill="auto"/>
            <w:vAlign w:val="center"/>
          </w:tcPr>
          <w:p w14:paraId="13DB3E73">
            <w:pPr>
              <w:widowControl/>
              <w:jc w:val="left"/>
              <w:rPr>
                <w:rFonts w:ascii="仿宋" w:hAnsi="仿宋" w:eastAsia="仿宋" w:cs="宋体"/>
                <w:kern w:val="0"/>
                <w:sz w:val="18"/>
                <w:szCs w:val="18"/>
              </w:rPr>
            </w:pPr>
          </w:p>
        </w:tc>
        <w:tc>
          <w:tcPr>
            <w:tcW w:w="1060" w:type="dxa"/>
            <w:vMerge w:val="continue"/>
            <w:shd w:val="clear" w:color="auto" w:fill="auto"/>
            <w:vAlign w:val="center"/>
          </w:tcPr>
          <w:p w14:paraId="1EB77A01">
            <w:pPr>
              <w:widowControl/>
              <w:jc w:val="left"/>
              <w:rPr>
                <w:rFonts w:ascii="仿宋" w:hAnsi="仿宋" w:eastAsia="仿宋" w:cs="宋体"/>
                <w:kern w:val="0"/>
                <w:sz w:val="18"/>
                <w:szCs w:val="18"/>
              </w:rPr>
            </w:pPr>
          </w:p>
        </w:tc>
        <w:tc>
          <w:tcPr>
            <w:tcW w:w="2480" w:type="dxa"/>
            <w:vMerge w:val="continue"/>
            <w:shd w:val="clear" w:color="auto" w:fill="auto"/>
            <w:vAlign w:val="center"/>
          </w:tcPr>
          <w:p w14:paraId="2CFE2346">
            <w:pPr>
              <w:widowControl/>
              <w:jc w:val="left"/>
              <w:rPr>
                <w:rFonts w:ascii="仿宋" w:hAnsi="仿宋" w:eastAsia="仿宋" w:cs="宋体"/>
                <w:kern w:val="0"/>
                <w:sz w:val="18"/>
                <w:szCs w:val="18"/>
              </w:rPr>
            </w:pPr>
          </w:p>
        </w:tc>
        <w:tc>
          <w:tcPr>
            <w:tcW w:w="3680" w:type="dxa"/>
            <w:shd w:val="clear" w:color="auto" w:fill="auto"/>
            <w:vAlign w:val="center"/>
          </w:tcPr>
          <w:p w14:paraId="14E45CB7">
            <w:pPr>
              <w:widowControl/>
              <w:jc w:val="left"/>
              <w:rPr>
                <w:rFonts w:ascii="仿宋" w:hAnsi="仿宋" w:eastAsia="仿宋" w:cs="宋体"/>
                <w:kern w:val="0"/>
                <w:sz w:val="18"/>
                <w:szCs w:val="18"/>
              </w:rPr>
            </w:pPr>
            <w:r>
              <w:rPr>
                <w:rFonts w:hint="eastAsia" w:ascii="仿宋" w:hAnsi="仿宋" w:eastAsia="仿宋" w:cs="宋体"/>
                <w:kern w:val="0"/>
                <w:sz w:val="18"/>
                <w:szCs w:val="18"/>
              </w:rPr>
              <w:t>②  资金执行率在100%以下，按实际资金执行率与100%的比值，乘以3分计分。</w:t>
            </w:r>
          </w:p>
        </w:tc>
        <w:tc>
          <w:tcPr>
            <w:tcW w:w="1060" w:type="dxa"/>
            <w:vMerge w:val="continue"/>
            <w:shd w:val="clear" w:color="auto" w:fill="auto"/>
            <w:vAlign w:val="center"/>
          </w:tcPr>
          <w:p w14:paraId="6654A719">
            <w:pPr>
              <w:widowControl/>
              <w:jc w:val="left"/>
              <w:rPr>
                <w:rFonts w:ascii="仿宋" w:hAnsi="仿宋" w:eastAsia="仿宋" w:cs="宋体"/>
                <w:kern w:val="0"/>
                <w:sz w:val="18"/>
                <w:szCs w:val="18"/>
              </w:rPr>
            </w:pPr>
          </w:p>
        </w:tc>
      </w:tr>
      <w:tr w14:paraId="3334C3E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88" w:hRule="atLeast"/>
        </w:trPr>
        <w:tc>
          <w:tcPr>
            <w:tcW w:w="1060" w:type="dxa"/>
            <w:vMerge w:val="continue"/>
            <w:shd w:val="clear" w:color="auto" w:fill="auto"/>
            <w:vAlign w:val="center"/>
          </w:tcPr>
          <w:p w14:paraId="7A2A233C">
            <w:pPr>
              <w:widowControl/>
              <w:jc w:val="left"/>
              <w:rPr>
                <w:rFonts w:ascii="仿宋" w:hAnsi="仿宋" w:eastAsia="仿宋" w:cs="宋体"/>
                <w:kern w:val="0"/>
                <w:sz w:val="18"/>
                <w:szCs w:val="18"/>
              </w:rPr>
            </w:pPr>
          </w:p>
        </w:tc>
        <w:tc>
          <w:tcPr>
            <w:tcW w:w="1060" w:type="dxa"/>
            <w:vMerge w:val="continue"/>
            <w:shd w:val="clear" w:color="auto" w:fill="auto"/>
            <w:vAlign w:val="center"/>
          </w:tcPr>
          <w:p w14:paraId="50B7CDD0">
            <w:pPr>
              <w:widowControl/>
              <w:jc w:val="left"/>
              <w:rPr>
                <w:rFonts w:ascii="仿宋" w:hAnsi="仿宋" w:eastAsia="仿宋" w:cs="宋体"/>
                <w:kern w:val="0"/>
                <w:sz w:val="18"/>
                <w:szCs w:val="18"/>
              </w:rPr>
            </w:pPr>
          </w:p>
        </w:tc>
        <w:tc>
          <w:tcPr>
            <w:tcW w:w="2480" w:type="dxa"/>
            <w:vMerge w:val="restart"/>
            <w:shd w:val="clear" w:color="auto" w:fill="auto"/>
            <w:vAlign w:val="center"/>
          </w:tcPr>
          <w:p w14:paraId="6BC3CD7B">
            <w:pPr>
              <w:widowControl/>
              <w:jc w:val="left"/>
              <w:rPr>
                <w:rFonts w:ascii="仿宋" w:hAnsi="仿宋" w:eastAsia="仿宋" w:cs="宋体"/>
                <w:kern w:val="0"/>
                <w:sz w:val="18"/>
                <w:szCs w:val="18"/>
              </w:rPr>
            </w:pPr>
            <w:r>
              <w:rPr>
                <w:rFonts w:hint="eastAsia" w:ascii="仿宋" w:hAnsi="仿宋" w:eastAsia="仿宋" w:cs="宋体"/>
                <w:kern w:val="0"/>
                <w:sz w:val="18"/>
                <w:szCs w:val="18"/>
              </w:rPr>
              <w:t>资金使用合规性（6分）</w:t>
            </w:r>
          </w:p>
        </w:tc>
        <w:tc>
          <w:tcPr>
            <w:tcW w:w="3680" w:type="dxa"/>
            <w:shd w:val="clear" w:color="auto" w:fill="auto"/>
            <w:vAlign w:val="center"/>
          </w:tcPr>
          <w:p w14:paraId="733F9E38">
            <w:pPr>
              <w:widowControl/>
              <w:jc w:val="left"/>
              <w:rPr>
                <w:rFonts w:ascii="仿宋" w:hAnsi="仿宋" w:eastAsia="仿宋" w:cs="宋体"/>
                <w:kern w:val="0"/>
                <w:sz w:val="18"/>
                <w:szCs w:val="18"/>
              </w:rPr>
            </w:pPr>
            <w:r>
              <w:rPr>
                <w:rFonts w:hint="eastAsia" w:ascii="仿宋" w:hAnsi="仿宋" w:eastAsia="仿宋" w:cs="宋体"/>
                <w:kern w:val="0"/>
                <w:sz w:val="18"/>
                <w:szCs w:val="18"/>
              </w:rPr>
              <w:t>①  项目资金专款专户、独立核算，资金使用符合专项资金管理制度的规定，计2分；</w:t>
            </w:r>
          </w:p>
        </w:tc>
        <w:tc>
          <w:tcPr>
            <w:tcW w:w="1060" w:type="dxa"/>
            <w:vMerge w:val="restart"/>
            <w:shd w:val="clear" w:color="auto" w:fill="auto"/>
            <w:noWrap/>
            <w:vAlign w:val="center"/>
          </w:tcPr>
          <w:p w14:paraId="45F76F4E">
            <w:pPr>
              <w:widowControl/>
              <w:jc w:val="center"/>
              <w:rPr>
                <w:rFonts w:ascii="仿宋" w:hAnsi="仿宋" w:eastAsia="仿宋" w:cs="宋体"/>
                <w:kern w:val="0"/>
                <w:sz w:val="18"/>
                <w:szCs w:val="18"/>
              </w:rPr>
            </w:pPr>
            <w:r>
              <w:rPr>
                <w:rFonts w:hint="eastAsia" w:ascii="仿宋" w:hAnsi="仿宋" w:eastAsia="仿宋" w:cs="宋体"/>
                <w:kern w:val="0"/>
                <w:sz w:val="18"/>
                <w:szCs w:val="18"/>
              </w:rPr>
              <w:t>6</w:t>
            </w:r>
          </w:p>
        </w:tc>
      </w:tr>
      <w:tr w14:paraId="76B0C21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60" w:hRule="atLeast"/>
        </w:trPr>
        <w:tc>
          <w:tcPr>
            <w:tcW w:w="1060" w:type="dxa"/>
            <w:vMerge w:val="continue"/>
            <w:shd w:val="clear" w:color="auto" w:fill="auto"/>
            <w:vAlign w:val="center"/>
          </w:tcPr>
          <w:p w14:paraId="03CF00FA">
            <w:pPr>
              <w:widowControl/>
              <w:jc w:val="left"/>
              <w:rPr>
                <w:rFonts w:ascii="仿宋" w:hAnsi="仿宋" w:eastAsia="仿宋" w:cs="宋体"/>
                <w:kern w:val="0"/>
                <w:sz w:val="18"/>
                <w:szCs w:val="18"/>
              </w:rPr>
            </w:pPr>
          </w:p>
        </w:tc>
        <w:tc>
          <w:tcPr>
            <w:tcW w:w="1060" w:type="dxa"/>
            <w:vMerge w:val="continue"/>
            <w:shd w:val="clear" w:color="auto" w:fill="auto"/>
            <w:vAlign w:val="center"/>
          </w:tcPr>
          <w:p w14:paraId="4CEBED75">
            <w:pPr>
              <w:widowControl/>
              <w:jc w:val="left"/>
              <w:rPr>
                <w:rFonts w:ascii="仿宋" w:hAnsi="仿宋" w:eastAsia="仿宋" w:cs="宋体"/>
                <w:kern w:val="0"/>
                <w:sz w:val="18"/>
                <w:szCs w:val="18"/>
              </w:rPr>
            </w:pPr>
          </w:p>
        </w:tc>
        <w:tc>
          <w:tcPr>
            <w:tcW w:w="2480" w:type="dxa"/>
            <w:vMerge w:val="continue"/>
            <w:shd w:val="clear" w:color="auto" w:fill="auto"/>
            <w:vAlign w:val="center"/>
          </w:tcPr>
          <w:p w14:paraId="3D161669">
            <w:pPr>
              <w:widowControl/>
              <w:jc w:val="left"/>
              <w:rPr>
                <w:rFonts w:ascii="仿宋" w:hAnsi="仿宋" w:eastAsia="仿宋" w:cs="宋体"/>
                <w:kern w:val="0"/>
                <w:sz w:val="18"/>
                <w:szCs w:val="18"/>
              </w:rPr>
            </w:pPr>
          </w:p>
        </w:tc>
        <w:tc>
          <w:tcPr>
            <w:tcW w:w="3680" w:type="dxa"/>
            <w:shd w:val="clear" w:color="auto" w:fill="auto"/>
            <w:vAlign w:val="center"/>
          </w:tcPr>
          <w:p w14:paraId="4357DAD8">
            <w:pPr>
              <w:widowControl/>
              <w:jc w:val="left"/>
              <w:rPr>
                <w:rFonts w:ascii="仿宋" w:hAnsi="仿宋" w:eastAsia="仿宋" w:cs="宋体"/>
                <w:kern w:val="0"/>
                <w:sz w:val="18"/>
                <w:szCs w:val="18"/>
              </w:rPr>
            </w:pPr>
            <w:r>
              <w:rPr>
                <w:rFonts w:hint="eastAsia" w:ascii="仿宋" w:hAnsi="仿宋" w:eastAsia="仿宋" w:cs="宋体"/>
                <w:kern w:val="0"/>
                <w:sz w:val="18"/>
                <w:szCs w:val="18"/>
              </w:rPr>
              <w:t>②  资金使用有完整的审批程序和手续，计2分；</w:t>
            </w:r>
          </w:p>
        </w:tc>
        <w:tc>
          <w:tcPr>
            <w:tcW w:w="1060" w:type="dxa"/>
            <w:vMerge w:val="continue"/>
            <w:shd w:val="clear" w:color="auto" w:fill="auto"/>
            <w:vAlign w:val="center"/>
          </w:tcPr>
          <w:p w14:paraId="09B28758">
            <w:pPr>
              <w:widowControl/>
              <w:jc w:val="left"/>
              <w:rPr>
                <w:rFonts w:ascii="仿宋" w:hAnsi="仿宋" w:eastAsia="仿宋" w:cs="宋体"/>
                <w:kern w:val="0"/>
                <w:sz w:val="18"/>
                <w:szCs w:val="18"/>
              </w:rPr>
            </w:pPr>
          </w:p>
        </w:tc>
      </w:tr>
      <w:tr w14:paraId="67F2CBF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78" w:hRule="atLeast"/>
        </w:trPr>
        <w:tc>
          <w:tcPr>
            <w:tcW w:w="1060" w:type="dxa"/>
            <w:vMerge w:val="continue"/>
            <w:shd w:val="clear" w:color="auto" w:fill="auto"/>
            <w:vAlign w:val="center"/>
          </w:tcPr>
          <w:p w14:paraId="0BA1CEAD">
            <w:pPr>
              <w:widowControl/>
              <w:jc w:val="left"/>
              <w:rPr>
                <w:rFonts w:ascii="仿宋" w:hAnsi="仿宋" w:eastAsia="仿宋" w:cs="宋体"/>
                <w:kern w:val="0"/>
                <w:sz w:val="18"/>
                <w:szCs w:val="18"/>
              </w:rPr>
            </w:pPr>
          </w:p>
        </w:tc>
        <w:tc>
          <w:tcPr>
            <w:tcW w:w="1060" w:type="dxa"/>
            <w:vMerge w:val="continue"/>
            <w:shd w:val="clear" w:color="auto" w:fill="auto"/>
            <w:vAlign w:val="center"/>
          </w:tcPr>
          <w:p w14:paraId="10C6B64A">
            <w:pPr>
              <w:widowControl/>
              <w:jc w:val="left"/>
              <w:rPr>
                <w:rFonts w:ascii="仿宋" w:hAnsi="仿宋" w:eastAsia="仿宋" w:cs="宋体"/>
                <w:kern w:val="0"/>
                <w:sz w:val="18"/>
                <w:szCs w:val="18"/>
              </w:rPr>
            </w:pPr>
          </w:p>
        </w:tc>
        <w:tc>
          <w:tcPr>
            <w:tcW w:w="2480" w:type="dxa"/>
            <w:vMerge w:val="continue"/>
            <w:shd w:val="clear" w:color="auto" w:fill="auto"/>
            <w:vAlign w:val="center"/>
          </w:tcPr>
          <w:p w14:paraId="76521493">
            <w:pPr>
              <w:widowControl/>
              <w:jc w:val="left"/>
              <w:rPr>
                <w:rFonts w:ascii="仿宋" w:hAnsi="仿宋" w:eastAsia="仿宋" w:cs="宋体"/>
                <w:kern w:val="0"/>
                <w:sz w:val="18"/>
                <w:szCs w:val="18"/>
              </w:rPr>
            </w:pPr>
          </w:p>
        </w:tc>
        <w:tc>
          <w:tcPr>
            <w:tcW w:w="3680" w:type="dxa"/>
            <w:shd w:val="clear" w:color="auto" w:fill="auto"/>
            <w:vAlign w:val="center"/>
          </w:tcPr>
          <w:p w14:paraId="3A260078">
            <w:pPr>
              <w:widowControl/>
              <w:jc w:val="left"/>
              <w:rPr>
                <w:rFonts w:ascii="仿宋" w:hAnsi="仿宋" w:eastAsia="仿宋" w:cs="宋体"/>
                <w:kern w:val="0"/>
                <w:sz w:val="18"/>
                <w:szCs w:val="18"/>
              </w:rPr>
            </w:pPr>
            <w:r>
              <w:rPr>
                <w:rFonts w:hint="eastAsia" w:ascii="仿宋" w:hAnsi="仿宋" w:eastAsia="仿宋" w:cs="宋体"/>
                <w:kern w:val="0"/>
                <w:sz w:val="18"/>
                <w:szCs w:val="18"/>
              </w:rPr>
              <w:t>③  资金支出符合项目预算批复或合同规定的用途，计2分；</w:t>
            </w:r>
          </w:p>
        </w:tc>
        <w:tc>
          <w:tcPr>
            <w:tcW w:w="1060" w:type="dxa"/>
            <w:vMerge w:val="continue"/>
            <w:shd w:val="clear" w:color="auto" w:fill="auto"/>
            <w:vAlign w:val="center"/>
          </w:tcPr>
          <w:p w14:paraId="70EBF7C3">
            <w:pPr>
              <w:widowControl/>
              <w:jc w:val="left"/>
              <w:rPr>
                <w:rFonts w:ascii="仿宋" w:hAnsi="仿宋" w:eastAsia="仿宋" w:cs="宋体"/>
                <w:kern w:val="0"/>
                <w:sz w:val="18"/>
                <w:szCs w:val="18"/>
              </w:rPr>
            </w:pPr>
          </w:p>
        </w:tc>
      </w:tr>
      <w:tr w14:paraId="4DCE435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70" w:hRule="atLeast"/>
        </w:trPr>
        <w:tc>
          <w:tcPr>
            <w:tcW w:w="1060" w:type="dxa"/>
            <w:vMerge w:val="continue"/>
            <w:shd w:val="clear" w:color="auto" w:fill="auto"/>
            <w:vAlign w:val="center"/>
          </w:tcPr>
          <w:p w14:paraId="58C7619A">
            <w:pPr>
              <w:widowControl/>
              <w:jc w:val="left"/>
              <w:rPr>
                <w:rFonts w:ascii="仿宋" w:hAnsi="仿宋" w:eastAsia="仿宋" w:cs="宋体"/>
                <w:kern w:val="0"/>
                <w:sz w:val="18"/>
                <w:szCs w:val="18"/>
              </w:rPr>
            </w:pPr>
          </w:p>
        </w:tc>
        <w:tc>
          <w:tcPr>
            <w:tcW w:w="1060" w:type="dxa"/>
            <w:vMerge w:val="continue"/>
            <w:shd w:val="clear" w:color="auto" w:fill="auto"/>
            <w:vAlign w:val="center"/>
          </w:tcPr>
          <w:p w14:paraId="577226EF">
            <w:pPr>
              <w:widowControl/>
              <w:jc w:val="left"/>
              <w:rPr>
                <w:rFonts w:ascii="仿宋" w:hAnsi="仿宋" w:eastAsia="仿宋" w:cs="宋体"/>
                <w:kern w:val="0"/>
                <w:sz w:val="18"/>
                <w:szCs w:val="18"/>
              </w:rPr>
            </w:pPr>
          </w:p>
        </w:tc>
        <w:tc>
          <w:tcPr>
            <w:tcW w:w="2480" w:type="dxa"/>
            <w:vMerge w:val="continue"/>
            <w:shd w:val="clear" w:color="auto" w:fill="auto"/>
            <w:vAlign w:val="center"/>
          </w:tcPr>
          <w:p w14:paraId="49838141">
            <w:pPr>
              <w:widowControl/>
              <w:jc w:val="left"/>
              <w:rPr>
                <w:rFonts w:ascii="仿宋" w:hAnsi="仿宋" w:eastAsia="仿宋" w:cs="宋体"/>
                <w:kern w:val="0"/>
                <w:sz w:val="18"/>
                <w:szCs w:val="18"/>
              </w:rPr>
            </w:pPr>
          </w:p>
        </w:tc>
        <w:tc>
          <w:tcPr>
            <w:tcW w:w="3680" w:type="dxa"/>
            <w:shd w:val="clear" w:color="auto" w:fill="auto"/>
            <w:vAlign w:val="center"/>
          </w:tcPr>
          <w:p w14:paraId="74533F10">
            <w:pPr>
              <w:widowControl/>
              <w:jc w:val="left"/>
              <w:rPr>
                <w:rFonts w:ascii="仿宋" w:hAnsi="仿宋" w:eastAsia="仿宋" w:cs="宋体"/>
                <w:kern w:val="0"/>
                <w:sz w:val="18"/>
                <w:szCs w:val="18"/>
              </w:rPr>
            </w:pPr>
            <w:r>
              <w:rPr>
                <w:rFonts w:hint="eastAsia" w:ascii="仿宋" w:hAnsi="仿宋" w:eastAsia="仿宋" w:cs="宋体"/>
                <w:kern w:val="0"/>
                <w:sz w:val="18"/>
                <w:szCs w:val="18"/>
              </w:rPr>
              <w:t>④  存在未专款专用，截留、挤占、挪用、虚列支出、超标列支相关费用等情况不得分，计0分。</w:t>
            </w:r>
          </w:p>
        </w:tc>
        <w:tc>
          <w:tcPr>
            <w:tcW w:w="1060" w:type="dxa"/>
            <w:vMerge w:val="continue"/>
            <w:shd w:val="clear" w:color="auto" w:fill="auto"/>
            <w:vAlign w:val="center"/>
          </w:tcPr>
          <w:p w14:paraId="5C00713F">
            <w:pPr>
              <w:widowControl/>
              <w:jc w:val="left"/>
              <w:rPr>
                <w:rFonts w:ascii="仿宋" w:hAnsi="仿宋" w:eastAsia="仿宋" w:cs="宋体"/>
                <w:kern w:val="0"/>
                <w:sz w:val="18"/>
                <w:szCs w:val="18"/>
              </w:rPr>
            </w:pPr>
          </w:p>
        </w:tc>
      </w:tr>
      <w:tr w14:paraId="770CF8BD">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28BD4E36">
            <w:pPr>
              <w:widowControl/>
              <w:jc w:val="left"/>
              <w:rPr>
                <w:rFonts w:ascii="仿宋" w:hAnsi="仿宋" w:eastAsia="仿宋" w:cs="宋体"/>
                <w:kern w:val="0"/>
                <w:sz w:val="18"/>
                <w:szCs w:val="18"/>
              </w:rPr>
            </w:pPr>
          </w:p>
        </w:tc>
        <w:tc>
          <w:tcPr>
            <w:tcW w:w="1060" w:type="dxa"/>
            <w:vMerge w:val="restart"/>
            <w:shd w:val="clear" w:color="auto" w:fill="auto"/>
            <w:vAlign w:val="center"/>
          </w:tcPr>
          <w:p w14:paraId="018A7E6B">
            <w:pPr>
              <w:widowControl/>
              <w:jc w:val="center"/>
              <w:rPr>
                <w:rFonts w:ascii="仿宋" w:hAnsi="仿宋" w:eastAsia="仿宋" w:cs="宋体"/>
                <w:kern w:val="0"/>
                <w:sz w:val="18"/>
                <w:szCs w:val="18"/>
              </w:rPr>
            </w:pPr>
            <w:r>
              <w:rPr>
                <w:rFonts w:hint="eastAsia" w:ascii="仿宋" w:hAnsi="仿宋" w:eastAsia="仿宋" w:cs="宋体"/>
                <w:kern w:val="0"/>
                <w:sz w:val="18"/>
                <w:szCs w:val="18"/>
              </w:rPr>
              <w:t>组织实施</w:t>
            </w:r>
            <w:r>
              <w:rPr>
                <w:rFonts w:hint="eastAsia" w:ascii="仿宋" w:hAnsi="仿宋" w:eastAsia="仿宋" w:cs="宋体"/>
                <w:kern w:val="0"/>
                <w:sz w:val="18"/>
                <w:szCs w:val="18"/>
              </w:rPr>
              <w:br w:type="textWrapping"/>
            </w:r>
            <w:r>
              <w:rPr>
                <w:rFonts w:hint="eastAsia" w:ascii="仿宋" w:hAnsi="仿宋" w:eastAsia="仿宋" w:cs="宋体"/>
                <w:kern w:val="0"/>
                <w:sz w:val="18"/>
                <w:szCs w:val="18"/>
              </w:rPr>
              <w:t>（12分）</w:t>
            </w:r>
          </w:p>
        </w:tc>
        <w:tc>
          <w:tcPr>
            <w:tcW w:w="2480" w:type="dxa"/>
            <w:vMerge w:val="restart"/>
            <w:shd w:val="clear" w:color="auto" w:fill="auto"/>
            <w:vAlign w:val="center"/>
          </w:tcPr>
          <w:p w14:paraId="1E0D84FB">
            <w:pPr>
              <w:widowControl/>
              <w:jc w:val="left"/>
              <w:rPr>
                <w:rFonts w:ascii="仿宋" w:hAnsi="仿宋" w:eastAsia="仿宋" w:cs="宋体"/>
                <w:kern w:val="0"/>
                <w:sz w:val="18"/>
                <w:szCs w:val="18"/>
              </w:rPr>
            </w:pPr>
            <w:r>
              <w:rPr>
                <w:rFonts w:hint="eastAsia" w:ascii="仿宋" w:hAnsi="仿宋" w:eastAsia="仿宋" w:cs="宋体"/>
                <w:kern w:val="0"/>
                <w:sz w:val="18"/>
                <w:szCs w:val="18"/>
              </w:rPr>
              <w:t>管理制度健全性（4分）</w:t>
            </w:r>
          </w:p>
        </w:tc>
        <w:tc>
          <w:tcPr>
            <w:tcW w:w="3680" w:type="dxa"/>
            <w:shd w:val="clear" w:color="auto" w:fill="auto"/>
            <w:vAlign w:val="center"/>
          </w:tcPr>
          <w:p w14:paraId="6CCD6B69">
            <w:pPr>
              <w:widowControl/>
              <w:jc w:val="left"/>
              <w:rPr>
                <w:rFonts w:ascii="仿宋" w:hAnsi="仿宋" w:eastAsia="仿宋" w:cs="宋体"/>
                <w:kern w:val="0"/>
                <w:sz w:val="18"/>
                <w:szCs w:val="18"/>
              </w:rPr>
            </w:pPr>
            <w:r>
              <w:rPr>
                <w:rFonts w:hint="eastAsia" w:ascii="仿宋" w:hAnsi="仿宋" w:eastAsia="仿宋" w:cs="宋体"/>
                <w:kern w:val="0"/>
                <w:sz w:val="18"/>
                <w:szCs w:val="18"/>
              </w:rPr>
              <w:t>①  未制定项目管理制度不得分，计0分。</w:t>
            </w:r>
          </w:p>
        </w:tc>
        <w:tc>
          <w:tcPr>
            <w:tcW w:w="1060" w:type="dxa"/>
            <w:vMerge w:val="restart"/>
            <w:shd w:val="clear" w:color="auto" w:fill="auto"/>
            <w:noWrap/>
            <w:vAlign w:val="center"/>
          </w:tcPr>
          <w:p w14:paraId="66D8C401">
            <w:pPr>
              <w:widowControl/>
              <w:jc w:val="center"/>
              <w:rPr>
                <w:rFonts w:ascii="仿宋" w:hAnsi="仿宋" w:eastAsia="仿宋" w:cs="宋体"/>
                <w:kern w:val="0"/>
                <w:sz w:val="18"/>
                <w:szCs w:val="18"/>
              </w:rPr>
            </w:pPr>
            <w:r>
              <w:rPr>
                <w:rFonts w:hint="eastAsia" w:ascii="仿宋" w:hAnsi="仿宋" w:eastAsia="仿宋" w:cs="宋体"/>
                <w:kern w:val="0"/>
                <w:sz w:val="18"/>
                <w:szCs w:val="18"/>
              </w:rPr>
              <w:t>4</w:t>
            </w:r>
          </w:p>
        </w:tc>
      </w:tr>
      <w:tr w14:paraId="4A2EAC7C">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3703FEF7">
            <w:pPr>
              <w:widowControl/>
              <w:jc w:val="left"/>
              <w:rPr>
                <w:rFonts w:ascii="仿宋" w:hAnsi="仿宋" w:eastAsia="仿宋" w:cs="宋体"/>
                <w:kern w:val="0"/>
                <w:sz w:val="18"/>
                <w:szCs w:val="18"/>
              </w:rPr>
            </w:pPr>
          </w:p>
        </w:tc>
        <w:tc>
          <w:tcPr>
            <w:tcW w:w="1060" w:type="dxa"/>
            <w:vMerge w:val="continue"/>
            <w:shd w:val="clear" w:color="auto" w:fill="auto"/>
            <w:vAlign w:val="center"/>
          </w:tcPr>
          <w:p w14:paraId="1EF5FDAE">
            <w:pPr>
              <w:widowControl/>
              <w:jc w:val="left"/>
              <w:rPr>
                <w:rFonts w:ascii="仿宋" w:hAnsi="仿宋" w:eastAsia="仿宋" w:cs="宋体"/>
                <w:kern w:val="0"/>
                <w:sz w:val="18"/>
                <w:szCs w:val="18"/>
              </w:rPr>
            </w:pPr>
          </w:p>
        </w:tc>
        <w:tc>
          <w:tcPr>
            <w:tcW w:w="2480" w:type="dxa"/>
            <w:vMerge w:val="continue"/>
            <w:shd w:val="clear" w:color="auto" w:fill="auto"/>
            <w:vAlign w:val="center"/>
          </w:tcPr>
          <w:p w14:paraId="652361A5">
            <w:pPr>
              <w:widowControl/>
              <w:jc w:val="left"/>
              <w:rPr>
                <w:rFonts w:ascii="仿宋" w:hAnsi="仿宋" w:eastAsia="仿宋" w:cs="宋体"/>
                <w:kern w:val="0"/>
                <w:sz w:val="18"/>
                <w:szCs w:val="18"/>
              </w:rPr>
            </w:pPr>
          </w:p>
        </w:tc>
        <w:tc>
          <w:tcPr>
            <w:tcW w:w="3680" w:type="dxa"/>
            <w:shd w:val="clear" w:color="auto" w:fill="auto"/>
            <w:vAlign w:val="center"/>
          </w:tcPr>
          <w:p w14:paraId="2E15D988">
            <w:pPr>
              <w:widowControl/>
              <w:jc w:val="left"/>
              <w:rPr>
                <w:rFonts w:ascii="仿宋" w:hAnsi="仿宋" w:eastAsia="仿宋" w:cs="宋体"/>
                <w:kern w:val="0"/>
                <w:sz w:val="18"/>
                <w:szCs w:val="18"/>
              </w:rPr>
            </w:pPr>
            <w:r>
              <w:rPr>
                <w:rFonts w:hint="eastAsia" w:ascii="仿宋" w:hAnsi="仿宋" w:eastAsia="仿宋" w:cs="宋体"/>
                <w:kern w:val="0"/>
                <w:sz w:val="18"/>
                <w:szCs w:val="18"/>
              </w:rPr>
              <w:t>②  制定了项目管理制度，但不健全，计2分；</w:t>
            </w:r>
          </w:p>
        </w:tc>
        <w:tc>
          <w:tcPr>
            <w:tcW w:w="1060" w:type="dxa"/>
            <w:vMerge w:val="continue"/>
            <w:shd w:val="clear" w:color="auto" w:fill="auto"/>
            <w:vAlign w:val="center"/>
          </w:tcPr>
          <w:p w14:paraId="403B1E34">
            <w:pPr>
              <w:widowControl/>
              <w:jc w:val="left"/>
              <w:rPr>
                <w:rFonts w:ascii="仿宋" w:hAnsi="仿宋" w:eastAsia="仿宋" w:cs="宋体"/>
                <w:kern w:val="0"/>
                <w:sz w:val="18"/>
                <w:szCs w:val="18"/>
              </w:rPr>
            </w:pPr>
          </w:p>
        </w:tc>
      </w:tr>
      <w:tr w14:paraId="52C9A732">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0CBD868C">
            <w:pPr>
              <w:widowControl/>
              <w:jc w:val="left"/>
              <w:rPr>
                <w:rFonts w:ascii="仿宋" w:hAnsi="仿宋" w:eastAsia="仿宋" w:cs="宋体"/>
                <w:kern w:val="0"/>
                <w:sz w:val="18"/>
                <w:szCs w:val="18"/>
              </w:rPr>
            </w:pPr>
          </w:p>
        </w:tc>
        <w:tc>
          <w:tcPr>
            <w:tcW w:w="1060" w:type="dxa"/>
            <w:vMerge w:val="continue"/>
            <w:shd w:val="clear" w:color="auto" w:fill="auto"/>
            <w:vAlign w:val="center"/>
          </w:tcPr>
          <w:p w14:paraId="582FEDBC">
            <w:pPr>
              <w:widowControl/>
              <w:jc w:val="left"/>
              <w:rPr>
                <w:rFonts w:ascii="仿宋" w:hAnsi="仿宋" w:eastAsia="仿宋" w:cs="宋体"/>
                <w:kern w:val="0"/>
                <w:sz w:val="18"/>
                <w:szCs w:val="18"/>
              </w:rPr>
            </w:pPr>
          </w:p>
        </w:tc>
        <w:tc>
          <w:tcPr>
            <w:tcW w:w="2480" w:type="dxa"/>
            <w:vMerge w:val="continue"/>
            <w:shd w:val="clear" w:color="auto" w:fill="auto"/>
            <w:vAlign w:val="center"/>
          </w:tcPr>
          <w:p w14:paraId="34346689">
            <w:pPr>
              <w:widowControl/>
              <w:jc w:val="left"/>
              <w:rPr>
                <w:rFonts w:ascii="仿宋" w:hAnsi="仿宋" w:eastAsia="仿宋" w:cs="宋体"/>
                <w:kern w:val="0"/>
                <w:sz w:val="18"/>
                <w:szCs w:val="18"/>
              </w:rPr>
            </w:pPr>
          </w:p>
        </w:tc>
        <w:tc>
          <w:tcPr>
            <w:tcW w:w="3680" w:type="dxa"/>
            <w:shd w:val="clear" w:color="auto" w:fill="auto"/>
            <w:vAlign w:val="center"/>
          </w:tcPr>
          <w:p w14:paraId="2AD86BD7">
            <w:pPr>
              <w:widowControl/>
              <w:jc w:val="left"/>
              <w:rPr>
                <w:rFonts w:ascii="仿宋" w:hAnsi="仿宋" w:eastAsia="仿宋" w:cs="宋体"/>
                <w:kern w:val="0"/>
                <w:sz w:val="18"/>
                <w:szCs w:val="18"/>
              </w:rPr>
            </w:pPr>
            <w:r>
              <w:rPr>
                <w:rFonts w:hint="eastAsia" w:ascii="仿宋" w:hAnsi="仿宋" w:eastAsia="仿宋" w:cs="宋体"/>
                <w:kern w:val="0"/>
                <w:sz w:val="18"/>
                <w:szCs w:val="18"/>
              </w:rPr>
              <w:t>③  制定合理、健全的项目管理制度，计4分；</w:t>
            </w:r>
          </w:p>
        </w:tc>
        <w:tc>
          <w:tcPr>
            <w:tcW w:w="1060" w:type="dxa"/>
            <w:vMerge w:val="continue"/>
            <w:shd w:val="clear" w:color="auto" w:fill="auto"/>
            <w:vAlign w:val="center"/>
          </w:tcPr>
          <w:p w14:paraId="03956B8B">
            <w:pPr>
              <w:widowControl/>
              <w:jc w:val="left"/>
              <w:rPr>
                <w:rFonts w:ascii="仿宋" w:hAnsi="仿宋" w:eastAsia="仿宋" w:cs="宋体"/>
                <w:kern w:val="0"/>
                <w:sz w:val="18"/>
                <w:szCs w:val="18"/>
              </w:rPr>
            </w:pPr>
          </w:p>
        </w:tc>
      </w:tr>
      <w:tr w14:paraId="22BA3D07">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12C52440">
            <w:pPr>
              <w:widowControl/>
              <w:jc w:val="left"/>
              <w:rPr>
                <w:rFonts w:ascii="仿宋" w:hAnsi="仿宋" w:eastAsia="仿宋" w:cs="宋体"/>
                <w:kern w:val="0"/>
                <w:sz w:val="18"/>
                <w:szCs w:val="18"/>
              </w:rPr>
            </w:pPr>
          </w:p>
        </w:tc>
        <w:tc>
          <w:tcPr>
            <w:tcW w:w="1060" w:type="dxa"/>
            <w:vMerge w:val="continue"/>
            <w:shd w:val="clear" w:color="auto" w:fill="auto"/>
            <w:vAlign w:val="center"/>
          </w:tcPr>
          <w:p w14:paraId="003E16D6">
            <w:pPr>
              <w:widowControl/>
              <w:jc w:val="left"/>
              <w:rPr>
                <w:rFonts w:ascii="仿宋" w:hAnsi="仿宋" w:eastAsia="仿宋" w:cs="宋体"/>
                <w:kern w:val="0"/>
                <w:sz w:val="18"/>
                <w:szCs w:val="18"/>
              </w:rPr>
            </w:pPr>
          </w:p>
        </w:tc>
        <w:tc>
          <w:tcPr>
            <w:tcW w:w="2480" w:type="dxa"/>
            <w:vMerge w:val="restart"/>
            <w:shd w:val="clear" w:color="auto" w:fill="auto"/>
            <w:vAlign w:val="center"/>
          </w:tcPr>
          <w:p w14:paraId="568D46AE">
            <w:pPr>
              <w:widowControl/>
              <w:jc w:val="left"/>
              <w:rPr>
                <w:rFonts w:ascii="仿宋" w:hAnsi="仿宋" w:eastAsia="仿宋" w:cs="宋体"/>
                <w:kern w:val="0"/>
                <w:sz w:val="18"/>
                <w:szCs w:val="18"/>
              </w:rPr>
            </w:pPr>
            <w:r>
              <w:rPr>
                <w:rFonts w:hint="eastAsia" w:ascii="仿宋" w:hAnsi="仿宋" w:eastAsia="仿宋" w:cs="宋体"/>
                <w:kern w:val="0"/>
                <w:sz w:val="18"/>
                <w:szCs w:val="18"/>
              </w:rPr>
              <w:t>制度执行有效性（8分）</w:t>
            </w:r>
          </w:p>
        </w:tc>
        <w:tc>
          <w:tcPr>
            <w:tcW w:w="3680" w:type="dxa"/>
            <w:shd w:val="clear" w:color="auto" w:fill="auto"/>
            <w:vAlign w:val="center"/>
          </w:tcPr>
          <w:p w14:paraId="65369219">
            <w:pPr>
              <w:widowControl/>
              <w:jc w:val="left"/>
              <w:rPr>
                <w:rFonts w:ascii="仿宋" w:hAnsi="仿宋" w:eastAsia="仿宋" w:cs="宋体"/>
                <w:kern w:val="0"/>
                <w:sz w:val="18"/>
                <w:szCs w:val="18"/>
              </w:rPr>
            </w:pPr>
            <w:r>
              <w:rPr>
                <w:rFonts w:hint="eastAsia" w:ascii="仿宋" w:hAnsi="仿宋" w:eastAsia="仿宋" w:cs="宋体"/>
                <w:kern w:val="0"/>
                <w:sz w:val="18"/>
                <w:szCs w:val="18"/>
              </w:rPr>
              <w:t>①  项目实施符合项目管理制度规定，计2分；</w:t>
            </w:r>
          </w:p>
        </w:tc>
        <w:tc>
          <w:tcPr>
            <w:tcW w:w="1060" w:type="dxa"/>
            <w:vMerge w:val="restart"/>
            <w:shd w:val="clear" w:color="auto" w:fill="auto"/>
            <w:noWrap/>
            <w:vAlign w:val="center"/>
          </w:tcPr>
          <w:p w14:paraId="61839DB7">
            <w:pPr>
              <w:widowControl/>
              <w:jc w:val="center"/>
              <w:rPr>
                <w:rFonts w:ascii="仿宋" w:hAnsi="仿宋" w:eastAsia="仿宋" w:cs="宋体"/>
                <w:kern w:val="0"/>
                <w:sz w:val="18"/>
                <w:szCs w:val="18"/>
              </w:rPr>
            </w:pPr>
            <w:r>
              <w:rPr>
                <w:rFonts w:hint="eastAsia" w:ascii="仿宋" w:hAnsi="仿宋" w:eastAsia="仿宋" w:cs="宋体"/>
                <w:kern w:val="0"/>
                <w:sz w:val="18"/>
                <w:szCs w:val="18"/>
              </w:rPr>
              <w:t>8</w:t>
            </w:r>
          </w:p>
        </w:tc>
      </w:tr>
      <w:tr w14:paraId="215E59C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60" w:hRule="atLeast"/>
        </w:trPr>
        <w:tc>
          <w:tcPr>
            <w:tcW w:w="1060" w:type="dxa"/>
            <w:vMerge w:val="continue"/>
            <w:shd w:val="clear" w:color="auto" w:fill="auto"/>
            <w:vAlign w:val="center"/>
          </w:tcPr>
          <w:p w14:paraId="325296F7">
            <w:pPr>
              <w:widowControl/>
              <w:jc w:val="left"/>
              <w:rPr>
                <w:rFonts w:ascii="仿宋" w:hAnsi="仿宋" w:eastAsia="仿宋" w:cs="宋体"/>
                <w:kern w:val="0"/>
                <w:sz w:val="18"/>
                <w:szCs w:val="18"/>
              </w:rPr>
            </w:pPr>
          </w:p>
        </w:tc>
        <w:tc>
          <w:tcPr>
            <w:tcW w:w="1060" w:type="dxa"/>
            <w:vMerge w:val="continue"/>
            <w:shd w:val="clear" w:color="auto" w:fill="auto"/>
            <w:vAlign w:val="center"/>
          </w:tcPr>
          <w:p w14:paraId="3C81730C">
            <w:pPr>
              <w:widowControl/>
              <w:jc w:val="left"/>
              <w:rPr>
                <w:rFonts w:ascii="仿宋" w:hAnsi="仿宋" w:eastAsia="仿宋" w:cs="宋体"/>
                <w:kern w:val="0"/>
                <w:sz w:val="18"/>
                <w:szCs w:val="18"/>
              </w:rPr>
            </w:pPr>
          </w:p>
        </w:tc>
        <w:tc>
          <w:tcPr>
            <w:tcW w:w="2480" w:type="dxa"/>
            <w:vMerge w:val="continue"/>
            <w:shd w:val="clear" w:color="auto" w:fill="auto"/>
            <w:vAlign w:val="center"/>
          </w:tcPr>
          <w:p w14:paraId="11DBA42B">
            <w:pPr>
              <w:widowControl/>
              <w:jc w:val="left"/>
              <w:rPr>
                <w:rFonts w:ascii="仿宋" w:hAnsi="仿宋" w:eastAsia="仿宋" w:cs="宋体"/>
                <w:kern w:val="0"/>
                <w:sz w:val="18"/>
                <w:szCs w:val="18"/>
              </w:rPr>
            </w:pPr>
          </w:p>
        </w:tc>
        <w:tc>
          <w:tcPr>
            <w:tcW w:w="3680" w:type="dxa"/>
            <w:shd w:val="clear" w:color="auto" w:fill="auto"/>
            <w:vAlign w:val="center"/>
          </w:tcPr>
          <w:p w14:paraId="7F467880">
            <w:pPr>
              <w:widowControl/>
              <w:jc w:val="left"/>
              <w:rPr>
                <w:rFonts w:ascii="仿宋" w:hAnsi="仿宋" w:eastAsia="仿宋" w:cs="宋体"/>
                <w:kern w:val="0"/>
                <w:sz w:val="18"/>
                <w:szCs w:val="18"/>
              </w:rPr>
            </w:pPr>
            <w:r>
              <w:rPr>
                <w:rFonts w:hint="eastAsia" w:ascii="仿宋" w:hAnsi="仿宋" w:eastAsia="仿宋" w:cs="宋体"/>
                <w:kern w:val="0"/>
                <w:sz w:val="18"/>
                <w:szCs w:val="18"/>
              </w:rPr>
              <w:t>②  执行相应的标准流程，计2分；</w:t>
            </w:r>
          </w:p>
        </w:tc>
        <w:tc>
          <w:tcPr>
            <w:tcW w:w="1060" w:type="dxa"/>
            <w:vMerge w:val="continue"/>
            <w:shd w:val="clear" w:color="auto" w:fill="auto"/>
            <w:vAlign w:val="center"/>
          </w:tcPr>
          <w:p w14:paraId="26B3E786">
            <w:pPr>
              <w:widowControl/>
              <w:jc w:val="left"/>
              <w:rPr>
                <w:rFonts w:ascii="仿宋" w:hAnsi="仿宋" w:eastAsia="仿宋" w:cs="宋体"/>
                <w:kern w:val="0"/>
                <w:sz w:val="18"/>
                <w:szCs w:val="18"/>
              </w:rPr>
            </w:pPr>
          </w:p>
        </w:tc>
      </w:tr>
      <w:tr w14:paraId="58AD2C3C">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22" w:hRule="atLeast"/>
        </w:trPr>
        <w:tc>
          <w:tcPr>
            <w:tcW w:w="1060" w:type="dxa"/>
            <w:vMerge w:val="continue"/>
            <w:shd w:val="clear" w:color="auto" w:fill="auto"/>
            <w:vAlign w:val="center"/>
          </w:tcPr>
          <w:p w14:paraId="7088A3E7">
            <w:pPr>
              <w:widowControl/>
              <w:jc w:val="left"/>
              <w:rPr>
                <w:rFonts w:ascii="仿宋" w:hAnsi="仿宋" w:eastAsia="仿宋" w:cs="宋体"/>
                <w:kern w:val="0"/>
                <w:sz w:val="18"/>
                <w:szCs w:val="18"/>
              </w:rPr>
            </w:pPr>
          </w:p>
        </w:tc>
        <w:tc>
          <w:tcPr>
            <w:tcW w:w="1060" w:type="dxa"/>
            <w:vMerge w:val="continue"/>
            <w:shd w:val="clear" w:color="auto" w:fill="auto"/>
            <w:vAlign w:val="center"/>
          </w:tcPr>
          <w:p w14:paraId="39CD7CE2">
            <w:pPr>
              <w:widowControl/>
              <w:jc w:val="left"/>
              <w:rPr>
                <w:rFonts w:ascii="仿宋" w:hAnsi="仿宋" w:eastAsia="仿宋" w:cs="宋体"/>
                <w:kern w:val="0"/>
                <w:sz w:val="18"/>
                <w:szCs w:val="18"/>
              </w:rPr>
            </w:pPr>
          </w:p>
        </w:tc>
        <w:tc>
          <w:tcPr>
            <w:tcW w:w="2480" w:type="dxa"/>
            <w:vMerge w:val="continue"/>
            <w:shd w:val="clear" w:color="auto" w:fill="auto"/>
            <w:vAlign w:val="center"/>
          </w:tcPr>
          <w:p w14:paraId="03A4D7DE">
            <w:pPr>
              <w:widowControl/>
              <w:jc w:val="left"/>
              <w:rPr>
                <w:rFonts w:ascii="仿宋" w:hAnsi="仿宋" w:eastAsia="仿宋" w:cs="宋体"/>
                <w:kern w:val="0"/>
                <w:sz w:val="18"/>
                <w:szCs w:val="18"/>
              </w:rPr>
            </w:pPr>
          </w:p>
        </w:tc>
        <w:tc>
          <w:tcPr>
            <w:tcW w:w="3680" w:type="dxa"/>
            <w:shd w:val="clear" w:color="auto" w:fill="auto"/>
            <w:vAlign w:val="center"/>
          </w:tcPr>
          <w:p w14:paraId="1F1ED210">
            <w:pPr>
              <w:widowControl/>
              <w:jc w:val="left"/>
              <w:rPr>
                <w:rFonts w:ascii="仿宋" w:hAnsi="仿宋" w:eastAsia="仿宋" w:cs="宋体"/>
                <w:kern w:val="0"/>
                <w:sz w:val="18"/>
                <w:szCs w:val="18"/>
              </w:rPr>
            </w:pPr>
            <w:r>
              <w:rPr>
                <w:rFonts w:hint="eastAsia" w:ascii="仿宋" w:hAnsi="仿宋" w:eastAsia="仿宋" w:cs="宋体"/>
                <w:kern w:val="0"/>
                <w:sz w:val="18"/>
                <w:szCs w:val="18"/>
              </w:rPr>
              <w:t>③  项目实施过程中相关批复文件、合作协议、审计报告等资料齐全，计2分；</w:t>
            </w:r>
          </w:p>
        </w:tc>
        <w:tc>
          <w:tcPr>
            <w:tcW w:w="1060" w:type="dxa"/>
            <w:vMerge w:val="continue"/>
            <w:shd w:val="clear" w:color="auto" w:fill="auto"/>
            <w:vAlign w:val="center"/>
          </w:tcPr>
          <w:p w14:paraId="03184417">
            <w:pPr>
              <w:widowControl/>
              <w:jc w:val="left"/>
              <w:rPr>
                <w:rFonts w:ascii="仿宋" w:hAnsi="仿宋" w:eastAsia="仿宋" w:cs="宋体"/>
                <w:kern w:val="0"/>
                <w:sz w:val="18"/>
                <w:szCs w:val="18"/>
              </w:rPr>
            </w:pPr>
          </w:p>
        </w:tc>
      </w:tr>
      <w:tr w14:paraId="6C7407D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04" w:hRule="atLeast"/>
        </w:trPr>
        <w:tc>
          <w:tcPr>
            <w:tcW w:w="1060" w:type="dxa"/>
            <w:vMerge w:val="continue"/>
            <w:shd w:val="clear" w:color="auto" w:fill="auto"/>
            <w:vAlign w:val="center"/>
          </w:tcPr>
          <w:p w14:paraId="2108FA2D">
            <w:pPr>
              <w:widowControl/>
              <w:jc w:val="left"/>
              <w:rPr>
                <w:rFonts w:ascii="仿宋" w:hAnsi="仿宋" w:eastAsia="仿宋" w:cs="宋体"/>
                <w:kern w:val="0"/>
                <w:sz w:val="18"/>
                <w:szCs w:val="18"/>
              </w:rPr>
            </w:pPr>
          </w:p>
        </w:tc>
        <w:tc>
          <w:tcPr>
            <w:tcW w:w="1060" w:type="dxa"/>
            <w:vMerge w:val="continue"/>
            <w:shd w:val="clear" w:color="auto" w:fill="auto"/>
            <w:vAlign w:val="center"/>
          </w:tcPr>
          <w:p w14:paraId="49FAA5B3">
            <w:pPr>
              <w:widowControl/>
              <w:jc w:val="left"/>
              <w:rPr>
                <w:rFonts w:ascii="仿宋" w:hAnsi="仿宋" w:eastAsia="仿宋" w:cs="宋体"/>
                <w:kern w:val="0"/>
                <w:sz w:val="18"/>
                <w:szCs w:val="18"/>
              </w:rPr>
            </w:pPr>
          </w:p>
        </w:tc>
        <w:tc>
          <w:tcPr>
            <w:tcW w:w="2480" w:type="dxa"/>
            <w:vMerge w:val="continue"/>
            <w:shd w:val="clear" w:color="auto" w:fill="auto"/>
            <w:vAlign w:val="center"/>
          </w:tcPr>
          <w:p w14:paraId="70F5FA81">
            <w:pPr>
              <w:widowControl/>
              <w:jc w:val="left"/>
              <w:rPr>
                <w:rFonts w:ascii="仿宋" w:hAnsi="仿宋" w:eastAsia="仿宋" w:cs="宋体"/>
                <w:kern w:val="0"/>
                <w:sz w:val="18"/>
                <w:szCs w:val="18"/>
              </w:rPr>
            </w:pPr>
          </w:p>
        </w:tc>
        <w:tc>
          <w:tcPr>
            <w:tcW w:w="3680" w:type="dxa"/>
            <w:shd w:val="clear" w:color="auto" w:fill="auto"/>
            <w:vAlign w:val="center"/>
          </w:tcPr>
          <w:p w14:paraId="0658B76B">
            <w:pPr>
              <w:widowControl/>
              <w:jc w:val="left"/>
              <w:rPr>
                <w:rFonts w:ascii="仿宋" w:hAnsi="仿宋" w:eastAsia="仿宋" w:cs="宋体"/>
                <w:kern w:val="0"/>
                <w:sz w:val="18"/>
                <w:szCs w:val="18"/>
              </w:rPr>
            </w:pPr>
            <w:r>
              <w:rPr>
                <w:rFonts w:hint="eastAsia" w:ascii="仿宋" w:hAnsi="仿宋" w:eastAsia="仿宋" w:cs="宋体"/>
                <w:kern w:val="0"/>
                <w:sz w:val="18"/>
                <w:szCs w:val="18"/>
              </w:rPr>
              <w:t>④  采取相应的财务检查等必要的监控措施，保障资金规范运行，计2分。</w:t>
            </w:r>
          </w:p>
        </w:tc>
        <w:tc>
          <w:tcPr>
            <w:tcW w:w="1060" w:type="dxa"/>
            <w:vMerge w:val="continue"/>
            <w:shd w:val="clear" w:color="auto" w:fill="auto"/>
            <w:vAlign w:val="center"/>
          </w:tcPr>
          <w:p w14:paraId="722FC000">
            <w:pPr>
              <w:widowControl/>
              <w:jc w:val="left"/>
              <w:rPr>
                <w:rFonts w:ascii="仿宋" w:hAnsi="仿宋" w:eastAsia="仿宋" w:cs="宋体"/>
                <w:kern w:val="0"/>
                <w:sz w:val="18"/>
                <w:szCs w:val="18"/>
              </w:rPr>
            </w:pPr>
          </w:p>
        </w:tc>
      </w:tr>
      <w:tr w14:paraId="319DEB1E">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vMerge w:val="restart"/>
            <w:shd w:val="clear" w:color="auto" w:fill="auto"/>
            <w:vAlign w:val="center"/>
          </w:tcPr>
          <w:p w14:paraId="7DC5BCC4">
            <w:pPr>
              <w:widowControl/>
              <w:jc w:val="center"/>
              <w:rPr>
                <w:rFonts w:ascii="仿宋" w:hAnsi="仿宋" w:eastAsia="仿宋" w:cs="宋体"/>
                <w:kern w:val="0"/>
                <w:sz w:val="18"/>
                <w:szCs w:val="18"/>
              </w:rPr>
            </w:pPr>
            <w:r>
              <w:rPr>
                <w:rFonts w:hint="eastAsia" w:ascii="仿宋" w:hAnsi="仿宋" w:eastAsia="仿宋" w:cs="宋体"/>
                <w:kern w:val="0"/>
                <w:sz w:val="18"/>
                <w:szCs w:val="18"/>
              </w:rPr>
              <w:t>产出</w:t>
            </w:r>
            <w:r>
              <w:rPr>
                <w:rFonts w:hint="eastAsia" w:ascii="仿宋" w:hAnsi="仿宋" w:eastAsia="仿宋" w:cs="宋体"/>
                <w:kern w:val="0"/>
                <w:sz w:val="18"/>
                <w:szCs w:val="18"/>
              </w:rPr>
              <w:br w:type="textWrapping"/>
            </w:r>
            <w:r>
              <w:rPr>
                <w:rFonts w:hint="eastAsia" w:ascii="仿宋" w:hAnsi="仿宋" w:eastAsia="仿宋" w:cs="宋体"/>
                <w:kern w:val="0"/>
                <w:sz w:val="18"/>
                <w:szCs w:val="18"/>
              </w:rPr>
              <w:t>（34分）</w:t>
            </w:r>
          </w:p>
        </w:tc>
        <w:tc>
          <w:tcPr>
            <w:tcW w:w="1060" w:type="dxa"/>
            <w:vMerge w:val="restart"/>
            <w:shd w:val="clear" w:color="auto" w:fill="auto"/>
            <w:vAlign w:val="center"/>
          </w:tcPr>
          <w:p w14:paraId="3CDE6FD2">
            <w:pPr>
              <w:widowControl/>
              <w:jc w:val="center"/>
              <w:rPr>
                <w:rFonts w:ascii="仿宋" w:hAnsi="仿宋" w:eastAsia="仿宋" w:cs="宋体"/>
                <w:kern w:val="0"/>
                <w:sz w:val="18"/>
                <w:szCs w:val="18"/>
              </w:rPr>
            </w:pPr>
            <w:r>
              <w:rPr>
                <w:rFonts w:hint="eastAsia" w:ascii="仿宋" w:hAnsi="仿宋" w:eastAsia="仿宋" w:cs="宋体"/>
                <w:kern w:val="0"/>
                <w:sz w:val="18"/>
                <w:szCs w:val="18"/>
              </w:rPr>
              <w:t>运营指标</w:t>
            </w:r>
            <w:r>
              <w:rPr>
                <w:rFonts w:hint="eastAsia" w:ascii="仿宋" w:hAnsi="仿宋" w:eastAsia="仿宋" w:cs="宋体"/>
                <w:kern w:val="0"/>
                <w:sz w:val="18"/>
                <w:szCs w:val="18"/>
              </w:rPr>
              <w:br w:type="textWrapping"/>
            </w:r>
            <w:r>
              <w:rPr>
                <w:rFonts w:hint="eastAsia" w:ascii="仿宋" w:hAnsi="仿宋" w:eastAsia="仿宋" w:cs="宋体"/>
                <w:kern w:val="0"/>
                <w:sz w:val="18"/>
                <w:szCs w:val="18"/>
              </w:rPr>
              <w:t>（12分）</w:t>
            </w:r>
          </w:p>
        </w:tc>
        <w:tc>
          <w:tcPr>
            <w:tcW w:w="2480" w:type="dxa"/>
            <w:vMerge w:val="restart"/>
            <w:shd w:val="clear" w:color="auto" w:fill="auto"/>
            <w:vAlign w:val="center"/>
          </w:tcPr>
          <w:p w14:paraId="302E298B">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旅客吞吐量增幅（4分）</w:t>
            </w:r>
          </w:p>
        </w:tc>
        <w:tc>
          <w:tcPr>
            <w:tcW w:w="3680" w:type="dxa"/>
            <w:shd w:val="clear" w:color="auto" w:fill="auto"/>
            <w:vAlign w:val="center"/>
          </w:tcPr>
          <w:p w14:paraId="50BAAF07">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①  较上年旅客吞吐量增幅达到10%，计4分；</w:t>
            </w:r>
          </w:p>
        </w:tc>
        <w:tc>
          <w:tcPr>
            <w:tcW w:w="1060" w:type="dxa"/>
            <w:vMerge w:val="restart"/>
            <w:shd w:val="clear" w:color="auto" w:fill="auto"/>
            <w:noWrap/>
            <w:vAlign w:val="center"/>
          </w:tcPr>
          <w:p w14:paraId="7D979691">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4</w:t>
            </w:r>
          </w:p>
        </w:tc>
      </w:tr>
      <w:tr w14:paraId="20C3D222">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6B5D26A0">
            <w:pPr>
              <w:widowControl/>
              <w:jc w:val="left"/>
              <w:rPr>
                <w:rFonts w:ascii="仿宋" w:hAnsi="仿宋" w:eastAsia="仿宋" w:cs="宋体"/>
                <w:kern w:val="0"/>
                <w:sz w:val="18"/>
                <w:szCs w:val="18"/>
              </w:rPr>
            </w:pPr>
          </w:p>
        </w:tc>
        <w:tc>
          <w:tcPr>
            <w:tcW w:w="1060" w:type="dxa"/>
            <w:vMerge w:val="continue"/>
            <w:shd w:val="clear" w:color="auto" w:fill="auto"/>
            <w:vAlign w:val="center"/>
          </w:tcPr>
          <w:p w14:paraId="6A1BFB7E">
            <w:pPr>
              <w:widowControl/>
              <w:jc w:val="left"/>
              <w:rPr>
                <w:rFonts w:ascii="仿宋" w:hAnsi="仿宋" w:eastAsia="仿宋" w:cs="宋体"/>
                <w:kern w:val="0"/>
                <w:sz w:val="18"/>
                <w:szCs w:val="18"/>
              </w:rPr>
            </w:pPr>
          </w:p>
        </w:tc>
        <w:tc>
          <w:tcPr>
            <w:tcW w:w="2480" w:type="dxa"/>
            <w:vMerge w:val="continue"/>
            <w:shd w:val="clear" w:color="auto" w:fill="auto"/>
            <w:vAlign w:val="center"/>
          </w:tcPr>
          <w:p w14:paraId="5B883851">
            <w:pPr>
              <w:widowControl/>
              <w:jc w:val="left"/>
              <w:rPr>
                <w:rFonts w:ascii="仿宋" w:hAnsi="仿宋" w:eastAsia="仿宋" w:cs="宋体"/>
                <w:color w:val="000000"/>
                <w:kern w:val="0"/>
                <w:sz w:val="18"/>
                <w:szCs w:val="18"/>
              </w:rPr>
            </w:pPr>
          </w:p>
        </w:tc>
        <w:tc>
          <w:tcPr>
            <w:tcW w:w="3680" w:type="dxa"/>
            <w:shd w:val="clear" w:color="auto" w:fill="auto"/>
            <w:vAlign w:val="center"/>
          </w:tcPr>
          <w:p w14:paraId="23E6E9F3">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②  增幅在10%以下，按实际增幅与10%的比值，乘以4分计分，扣完为止。</w:t>
            </w:r>
          </w:p>
        </w:tc>
        <w:tc>
          <w:tcPr>
            <w:tcW w:w="1060" w:type="dxa"/>
            <w:vMerge w:val="continue"/>
            <w:shd w:val="clear" w:color="auto" w:fill="auto"/>
            <w:vAlign w:val="center"/>
          </w:tcPr>
          <w:p w14:paraId="2D3F1293">
            <w:pPr>
              <w:widowControl/>
              <w:jc w:val="left"/>
              <w:rPr>
                <w:rFonts w:ascii="仿宋" w:hAnsi="仿宋" w:eastAsia="仿宋" w:cs="宋体"/>
                <w:color w:val="000000"/>
                <w:kern w:val="0"/>
                <w:sz w:val="18"/>
                <w:szCs w:val="18"/>
              </w:rPr>
            </w:pPr>
          </w:p>
        </w:tc>
      </w:tr>
      <w:tr w14:paraId="37D8F857">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vMerge w:val="continue"/>
            <w:shd w:val="clear" w:color="auto" w:fill="auto"/>
            <w:vAlign w:val="center"/>
          </w:tcPr>
          <w:p w14:paraId="68AAFCD4">
            <w:pPr>
              <w:widowControl/>
              <w:jc w:val="left"/>
              <w:rPr>
                <w:rFonts w:ascii="仿宋" w:hAnsi="仿宋" w:eastAsia="仿宋" w:cs="宋体"/>
                <w:kern w:val="0"/>
                <w:sz w:val="18"/>
                <w:szCs w:val="18"/>
              </w:rPr>
            </w:pPr>
          </w:p>
        </w:tc>
        <w:tc>
          <w:tcPr>
            <w:tcW w:w="1060" w:type="dxa"/>
            <w:vMerge w:val="continue"/>
            <w:shd w:val="clear" w:color="auto" w:fill="auto"/>
            <w:vAlign w:val="center"/>
          </w:tcPr>
          <w:p w14:paraId="5DE0E99B">
            <w:pPr>
              <w:widowControl/>
              <w:jc w:val="left"/>
              <w:rPr>
                <w:rFonts w:ascii="仿宋" w:hAnsi="仿宋" w:eastAsia="仿宋" w:cs="宋体"/>
                <w:kern w:val="0"/>
                <w:sz w:val="18"/>
                <w:szCs w:val="18"/>
              </w:rPr>
            </w:pPr>
          </w:p>
        </w:tc>
        <w:tc>
          <w:tcPr>
            <w:tcW w:w="2480" w:type="dxa"/>
            <w:vMerge w:val="restart"/>
            <w:shd w:val="clear" w:color="auto" w:fill="auto"/>
            <w:vAlign w:val="center"/>
          </w:tcPr>
          <w:p w14:paraId="109CE1E4">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货邮吞吐量增幅（2分）</w:t>
            </w:r>
          </w:p>
        </w:tc>
        <w:tc>
          <w:tcPr>
            <w:tcW w:w="3680" w:type="dxa"/>
            <w:shd w:val="clear" w:color="auto" w:fill="auto"/>
            <w:vAlign w:val="center"/>
          </w:tcPr>
          <w:p w14:paraId="1090F714">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①  较上年货邮吞吐量增幅达到10%，计2分；</w:t>
            </w:r>
          </w:p>
        </w:tc>
        <w:tc>
          <w:tcPr>
            <w:tcW w:w="1060" w:type="dxa"/>
            <w:vMerge w:val="restart"/>
            <w:shd w:val="clear" w:color="auto" w:fill="auto"/>
            <w:noWrap/>
            <w:vAlign w:val="center"/>
          </w:tcPr>
          <w:p w14:paraId="32749684">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xml:space="preserve">1.95 </w:t>
            </w:r>
          </w:p>
        </w:tc>
      </w:tr>
      <w:tr w14:paraId="26D0AF3D">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435E6194">
            <w:pPr>
              <w:widowControl/>
              <w:jc w:val="left"/>
              <w:rPr>
                <w:rFonts w:ascii="仿宋" w:hAnsi="仿宋" w:eastAsia="仿宋" w:cs="宋体"/>
                <w:kern w:val="0"/>
                <w:sz w:val="18"/>
                <w:szCs w:val="18"/>
              </w:rPr>
            </w:pPr>
          </w:p>
        </w:tc>
        <w:tc>
          <w:tcPr>
            <w:tcW w:w="1060" w:type="dxa"/>
            <w:vMerge w:val="continue"/>
            <w:shd w:val="clear" w:color="auto" w:fill="auto"/>
            <w:vAlign w:val="center"/>
          </w:tcPr>
          <w:p w14:paraId="0307FB80">
            <w:pPr>
              <w:widowControl/>
              <w:jc w:val="left"/>
              <w:rPr>
                <w:rFonts w:ascii="仿宋" w:hAnsi="仿宋" w:eastAsia="仿宋" w:cs="宋体"/>
                <w:kern w:val="0"/>
                <w:sz w:val="18"/>
                <w:szCs w:val="18"/>
              </w:rPr>
            </w:pPr>
          </w:p>
        </w:tc>
        <w:tc>
          <w:tcPr>
            <w:tcW w:w="2480" w:type="dxa"/>
            <w:vMerge w:val="continue"/>
            <w:shd w:val="clear" w:color="auto" w:fill="auto"/>
            <w:vAlign w:val="center"/>
          </w:tcPr>
          <w:p w14:paraId="66D13039">
            <w:pPr>
              <w:widowControl/>
              <w:jc w:val="left"/>
              <w:rPr>
                <w:rFonts w:ascii="仿宋" w:hAnsi="仿宋" w:eastAsia="仿宋" w:cs="宋体"/>
                <w:color w:val="000000"/>
                <w:kern w:val="0"/>
                <w:sz w:val="18"/>
                <w:szCs w:val="18"/>
              </w:rPr>
            </w:pPr>
          </w:p>
        </w:tc>
        <w:tc>
          <w:tcPr>
            <w:tcW w:w="3680" w:type="dxa"/>
            <w:shd w:val="clear" w:color="auto" w:fill="auto"/>
            <w:vAlign w:val="center"/>
          </w:tcPr>
          <w:p w14:paraId="6AD8CB4E">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②  增幅在10%以下，按实际增幅与10%的比值，乘以2分计分，扣完为止。</w:t>
            </w:r>
          </w:p>
        </w:tc>
        <w:tc>
          <w:tcPr>
            <w:tcW w:w="1060" w:type="dxa"/>
            <w:vMerge w:val="continue"/>
            <w:shd w:val="clear" w:color="auto" w:fill="auto"/>
            <w:vAlign w:val="center"/>
          </w:tcPr>
          <w:p w14:paraId="09C0EF4D">
            <w:pPr>
              <w:widowControl/>
              <w:jc w:val="left"/>
              <w:rPr>
                <w:rFonts w:ascii="仿宋" w:hAnsi="仿宋" w:eastAsia="仿宋" w:cs="宋体"/>
                <w:color w:val="000000"/>
                <w:kern w:val="0"/>
                <w:sz w:val="18"/>
                <w:szCs w:val="18"/>
              </w:rPr>
            </w:pPr>
          </w:p>
        </w:tc>
      </w:tr>
      <w:tr w14:paraId="497D8DA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16E0451B">
            <w:pPr>
              <w:widowControl/>
              <w:jc w:val="left"/>
              <w:rPr>
                <w:rFonts w:ascii="仿宋" w:hAnsi="仿宋" w:eastAsia="仿宋" w:cs="宋体"/>
                <w:kern w:val="0"/>
                <w:sz w:val="18"/>
                <w:szCs w:val="18"/>
              </w:rPr>
            </w:pPr>
          </w:p>
        </w:tc>
        <w:tc>
          <w:tcPr>
            <w:tcW w:w="1060" w:type="dxa"/>
            <w:vMerge w:val="continue"/>
            <w:shd w:val="clear" w:color="auto" w:fill="auto"/>
            <w:vAlign w:val="center"/>
          </w:tcPr>
          <w:p w14:paraId="3E10FFB7">
            <w:pPr>
              <w:widowControl/>
              <w:jc w:val="left"/>
              <w:rPr>
                <w:rFonts w:ascii="仿宋" w:hAnsi="仿宋" w:eastAsia="仿宋" w:cs="宋体"/>
                <w:kern w:val="0"/>
                <w:sz w:val="18"/>
                <w:szCs w:val="18"/>
              </w:rPr>
            </w:pPr>
          </w:p>
        </w:tc>
        <w:tc>
          <w:tcPr>
            <w:tcW w:w="2480" w:type="dxa"/>
            <w:vMerge w:val="restart"/>
            <w:shd w:val="clear" w:color="auto" w:fill="auto"/>
            <w:vAlign w:val="center"/>
          </w:tcPr>
          <w:p w14:paraId="4007E26E">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国际地区旅客吞吐量（4分）</w:t>
            </w:r>
          </w:p>
        </w:tc>
        <w:tc>
          <w:tcPr>
            <w:tcW w:w="3680" w:type="dxa"/>
            <w:shd w:val="clear" w:color="auto" w:fill="auto"/>
            <w:vAlign w:val="center"/>
          </w:tcPr>
          <w:p w14:paraId="0054D75F">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①  较上年国际地区旅客吞吐量增幅达到10%，计4分；</w:t>
            </w:r>
          </w:p>
        </w:tc>
        <w:tc>
          <w:tcPr>
            <w:tcW w:w="1060" w:type="dxa"/>
            <w:vMerge w:val="restart"/>
            <w:shd w:val="clear" w:color="auto" w:fill="auto"/>
            <w:noWrap/>
            <w:vAlign w:val="center"/>
          </w:tcPr>
          <w:p w14:paraId="006F89FE">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4</w:t>
            </w:r>
          </w:p>
        </w:tc>
      </w:tr>
      <w:tr w14:paraId="2616E77E">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46" w:hRule="atLeast"/>
        </w:trPr>
        <w:tc>
          <w:tcPr>
            <w:tcW w:w="1060" w:type="dxa"/>
            <w:vMerge w:val="continue"/>
            <w:shd w:val="clear" w:color="auto" w:fill="auto"/>
            <w:vAlign w:val="center"/>
          </w:tcPr>
          <w:p w14:paraId="29512A74">
            <w:pPr>
              <w:widowControl/>
              <w:jc w:val="left"/>
              <w:rPr>
                <w:rFonts w:ascii="仿宋" w:hAnsi="仿宋" w:eastAsia="仿宋" w:cs="宋体"/>
                <w:kern w:val="0"/>
                <w:sz w:val="18"/>
                <w:szCs w:val="18"/>
              </w:rPr>
            </w:pPr>
          </w:p>
        </w:tc>
        <w:tc>
          <w:tcPr>
            <w:tcW w:w="1060" w:type="dxa"/>
            <w:vMerge w:val="continue"/>
            <w:shd w:val="clear" w:color="auto" w:fill="auto"/>
            <w:vAlign w:val="center"/>
          </w:tcPr>
          <w:p w14:paraId="24AA4F51">
            <w:pPr>
              <w:widowControl/>
              <w:jc w:val="left"/>
              <w:rPr>
                <w:rFonts w:ascii="仿宋" w:hAnsi="仿宋" w:eastAsia="仿宋" w:cs="宋体"/>
                <w:kern w:val="0"/>
                <w:sz w:val="18"/>
                <w:szCs w:val="18"/>
              </w:rPr>
            </w:pPr>
          </w:p>
        </w:tc>
        <w:tc>
          <w:tcPr>
            <w:tcW w:w="2480" w:type="dxa"/>
            <w:vMerge w:val="continue"/>
            <w:shd w:val="clear" w:color="auto" w:fill="auto"/>
            <w:vAlign w:val="center"/>
          </w:tcPr>
          <w:p w14:paraId="7984F14F">
            <w:pPr>
              <w:widowControl/>
              <w:jc w:val="left"/>
              <w:rPr>
                <w:rFonts w:ascii="仿宋" w:hAnsi="仿宋" w:eastAsia="仿宋" w:cs="宋体"/>
                <w:color w:val="000000"/>
                <w:kern w:val="0"/>
                <w:sz w:val="18"/>
                <w:szCs w:val="18"/>
              </w:rPr>
            </w:pPr>
          </w:p>
        </w:tc>
        <w:tc>
          <w:tcPr>
            <w:tcW w:w="3680" w:type="dxa"/>
            <w:shd w:val="clear" w:color="auto" w:fill="auto"/>
            <w:vAlign w:val="center"/>
          </w:tcPr>
          <w:p w14:paraId="79BC2F4F">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②  增幅在10%以下，按实际增幅与10%的比值，乘以4分计分，扣完为止。</w:t>
            </w:r>
          </w:p>
        </w:tc>
        <w:tc>
          <w:tcPr>
            <w:tcW w:w="1060" w:type="dxa"/>
            <w:vMerge w:val="continue"/>
            <w:shd w:val="clear" w:color="auto" w:fill="auto"/>
            <w:vAlign w:val="center"/>
          </w:tcPr>
          <w:p w14:paraId="3DF9EC08">
            <w:pPr>
              <w:widowControl/>
              <w:jc w:val="left"/>
              <w:rPr>
                <w:rFonts w:ascii="仿宋" w:hAnsi="仿宋" w:eastAsia="仿宋" w:cs="宋体"/>
                <w:color w:val="000000"/>
                <w:kern w:val="0"/>
                <w:sz w:val="18"/>
                <w:szCs w:val="18"/>
              </w:rPr>
            </w:pPr>
          </w:p>
        </w:tc>
      </w:tr>
      <w:tr w14:paraId="3186E20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44D349D0">
            <w:pPr>
              <w:widowControl/>
              <w:jc w:val="left"/>
              <w:rPr>
                <w:rFonts w:ascii="仿宋" w:hAnsi="仿宋" w:eastAsia="仿宋" w:cs="宋体"/>
                <w:kern w:val="0"/>
                <w:sz w:val="18"/>
                <w:szCs w:val="18"/>
              </w:rPr>
            </w:pPr>
          </w:p>
        </w:tc>
        <w:tc>
          <w:tcPr>
            <w:tcW w:w="1060" w:type="dxa"/>
            <w:vMerge w:val="continue"/>
            <w:shd w:val="clear" w:color="auto" w:fill="auto"/>
            <w:vAlign w:val="center"/>
          </w:tcPr>
          <w:p w14:paraId="532CE544">
            <w:pPr>
              <w:widowControl/>
              <w:jc w:val="left"/>
              <w:rPr>
                <w:rFonts w:ascii="仿宋" w:hAnsi="仿宋" w:eastAsia="仿宋" w:cs="宋体"/>
                <w:kern w:val="0"/>
                <w:sz w:val="18"/>
                <w:szCs w:val="18"/>
              </w:rPr>
            </w:pPr>
          </w:p>
        </w:tc>
        <w:tc>
          <w:tcPr>
            <w:tcW w:w="2480" w:type="dxa"/>
            <w:vMerge w:val="restart"/>
            <w:shd w:val="clear" w:color="auto" w:fill="auto"/>
            <w:vAlign w:val="center"/>
          </w:tcPr>
          <w:p w14:paraId="20EEF856">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国际地区货邮吞吐量（2分）</w:t>
            </w:r>
          </w:p>
        </w:tc>
        <w:tc>
          <w:tcPr>
            <w:tcW w:w="3680" w:type="dxa"/>
            <w:shd w:val="clear" w:color="auto" w:fill="auto"/>
            <w:vAlign w:val="center"/>
          </w:tcPr>
          <w:p w14:paraId="6FB213CE">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①  较上年国际地区货邮吞吐量增幅达到20%，计2分；</w:t>
            </w:r>
          </w:p>
        </w:tc>
        <w:tc>
          <w:tcPr>
            <w:tcW w:w="1060" w:type="dxa"/>
            <w:vMerge w:val="restart"/>
            <w:shd w:val="clear" w:color="auto" w:fill="auto"/>
            <w:noWrap/>
            <w:vAlign w:val="center"/>
          </w:tcPr>
          <w:p w14:paraId="5D7523A0">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xml:space="preserve">1.75 </w:t>
            </w:r>
          </w:p>
        </w:tc>
      </w:tr>
      <w:tr w14:paraId="64AD40D0">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22" w:hRule="atLeast"/>
        </w:trPr>
        <w:tc>
          <w:tcPr>
            <w:tcW w:w="1060" w:type="dxa"/>
            <w:vMerge w:val="continue"/>
            <w:shd w:val="clear" w:color="auto" w:fill="auto"/>
            <w:vAlign w:val="center"/>
          </w:tcPr>
          <w:p w14:paraId="464B716B">
            <w:pPr>
              <w:widowControl/>
              <w:jc w:val="left"/>
              <w:rPr>
                <w:rFonts w:ascii="仿宋" w:hAnsi="仿宋" w:eastAsia="仿宋" w:cs="宋体"/>
                <w:kern w:val="0"/>
                <w:sz w:val="18"/>
                <w:szCs w:val="18"/>
              </w:rPr>
            </w:pPr>
          </w:p>
        </w:tc>
        <w:tc>
          <w:tcPr>
            <w:tcW w:w="1060" w:type="dxa"/>
            <w:vMerge w:val="continue"/>
            <w:shd w:val="clear" w:color="auto" w:fill="auto"/>
            <w:vAlign w:val="center"/>
          </w:tcPr>
          <w:p w14:paraId="58CB1C5F">
            <w:pPr>
              <w:widowControl/>
              <w:jc w:val="left"/>
              <w:rPr>
                <w:rFonts w:ascii="仿宋" w:hAnsi="仿宋" w:eastAsia="仿宋" w:cs="宋体"/>
                <w:kern w:val="0"/>
                <w:sz w:val="18"/>
                <w:szCs w:val="18"/>
              </w:rPr>
            </w:pPr>
          </w:p>
        </w:tc>
        <w:tc>
          <w:tcPr>
            <w:tcW w:w="2480" w:type="dxa"/>
            <w:vMerge w:val="continue"/>
            <w:shd w:val="clear" w:color="auto" w:fill="auto"/>
            <w:vAlign w:val="center"/>
          </w:tcPr>
          <w:p w14:paraId="36EDBA3E">
            <w:pPr>
              <w:widowControl/>
              <w:jc w:val="left"/>
              <w:rPr>
                <w:rFonts w:ascii="仿宋" w:hAnsi="仿宋" w:eastAsia="仿宋" w:cs="宋体"/>
                <w:color w:val="000000"/>
                <w:kern w:val="0"/>
                <w:sz w:val="18"/>
                <w:szCs w:val="18"/>
              </w:rPr>
            </w:pPr>
          </w:p>
        </w:tc>
        <w:tc>
          <w:tcPr>
            <w:tcW w:w="3680" w:type="dxa"/>
            <w:shd w:val="clear" w:color="auto" w:fill="auto"/>
            <w:vAlign w:val="center"/>
          </w:tcPr>
          <w:p w14:paraId="3D869224">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②  增幅在20%以下，按实际增幅与20%的比值，乘以2分计分，扣完为止。</w:t>
            </w:r>
          </w:p>
        </w:tc>
        <w:tc>
          <w:tcPr>
            <w:tcW w:w="1060" w:type="dxa"/>
            <w:vMerge w:val="continue"/>
            <w:shd w:val="clear" w:color="auto" w:fill="auto"/>
            <w:vAlign w:val="center"/>
          </w:tcPr>
          <w:p w14:paraId="4B044EBE">
            <w:pPr>
              <w:widowControl/>
              <w:jc w:val="left"/>
              <w:rPr>
                <w:rFonts w:ascii="仿宋" w:hAnsi="仿宋" w:eastAsia="仿宋" w:cs="宋体"/>
                <w:color w:val="000000"/>
                <w:kern w:val="0"/>
                <w:sz w:val="18"/>
                <w:szCs w:val="18"/>
              </w:rPr>
            </w:pPr>
          </w:p>
        </w:tc>
      </w:tr>
      <w:tr w14:paraId="437E2264">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2231B809">
            <w:pPr>
              <w:widowControl/>
              <w:jc w:val="left"/>
              <w:rPr>
                <w:rFonts w:ascii="仿宋" w:hAnsi="仿宋" w:eastAsia="仿宋" w:cs="宋体"/>
                <w:kern w:val="0"/>
                <w:sz w:val="18"/>
                <w:szCs w:val="18"/>
              </w:rPr>
            </w:pPr>
          </w:p>
        </w:tc>
        <w:tc>
          <w:tcPr>
            <w:tcW w:w="1060" w:type="dxa"/>
            <w:vMerge w:val="restart"/>
            <w:shd w:val="clear" w:color="auto" w:fill="auto"/>
            <w:vAlign w:val="center"/>
          </w:tcPr>
          <w:p w14:paraId="07A21BB6">
            <w:pPr>
              <w:jc w:val="center"/>
              <w:rPr>
                <w:rFonts w:ascii="仿宋" w:hAnsi="仿宋" w:eastAsia="仿宋" w:cs="宋体"/>
                <w:sz w:val="18"/>
                <w:szCs w:val="18"/>
              </w:rPr>
            </w:pPr>
            <w:r>
              <w:rPr>
                <w:rFonts w:hint="eastAsia" w:ascii="仿宋" w:hAnsi="仿宋" w:eastAsia="仿宋"/>
                <w:sz w:val="18"/>
                <w:szCs w:val="18"/>
              </w:rPr>
              <w:t>航线指标</w:t>
            </w:r>
            <w:r>
              <w:rPr>
                <w:rFonts w:hint="eastAsia" w:ascii="仿宋" w:hAnsi="仿宋" w:eastAsia="仿宋"/>
                <w:sz w:val="18"/>
                <w:szCs w:val="18"/>
              </w:rPr>
              <w:br w:type="textWrapping"/>
            </w:r>
            <w:r>
              <w:rPr>
                <w:rFonts w:hint="eastAsia" w:ascii="仿宋" w:hAnsi="仿宋" w:eastAsia="仿宋"/>
                <w:sz w:val="18"/>
                <w:szCs w:val="18"/>
              </w:rPr>
              <w:t>（15分）</w:t>
            </w:r>
          </w:p>
        </w:tc>
        <w:tc>
          <w:tcPr>
            <w:tcW w:w="2480" w:type="dxa"/>
            <w:vMerge w:val="restart"/>
            <w:shd w:val="clear" w:color="auto" w:fill="auto"/>
            <w:vAlign w:val="center"/>
          </w:tcPr>
          <w:p w14:paraId="07F6E221">
            <w:pPr>
              <w:rPr>
                <w:rFonts w:ascii="仿宋" w:hAnsi="仿宋" w:eastAsia="仿宋" w:cs="宋体"/>
                <w:color w:val="000000"/>
                <w:sz w:val="18"/>
                <w:szCs w:val="18"/>
              </w:rPr>
            </w:pPr>
            <w:r>
              <w:rPr>
                <w:rFonts w:hint="eastAsia" w:ascii="仿宋" w:hAnsi="仿宋" w:eastAsia="仿宋"/>
                <w:color w:val="000000"/>
                <w:sz w:val="18"/>
                <w:szCs w:val="18"/>
              </w:rPr>
              <w:t>重点国际航线（5分）</w:t>
            </w:r>
          </w:p>
        </w:tc>
        <w:tc>
          <w:tcPr>
            <w:tcW w:w="3680" w:type="dxa"/>
            <w:shd w:val="clear" w:color="auto" w:fill="auto"/>
            <w:vAlign w:val="center"/>
          </w:tcPr>
          <w:p w14:paraId="5EEED926">
            <w:pPr>
              <w:rPr>
                <w:rFonts w:ascii="仿宋" w:hAnsi="仿宋" w:eastAsia="仿宋" w:cs="宋体"/>
                <w:color w:val="000000"/>
                <w:sz w:val="18"/>
                <w:szCs w:val="18"/>
              </w:rPr>
            </w:pPr>
            <w:r>
              <w:rPr>
                <w:rFonts w:hint="eastAsia" w:ascii="仿宋" w:hAnsi="仿宋" w:eastAsia="仿宋"/>
                <w:color w:val="000000"/>
                <w:sz w:val="18"/>
                <w:szCs w:val="18"/>
              </w:rPr>
              <w:t>①  稳定上年重点国际航点，计3分；减少1个扣1分，扣完为止；</w:t>
            </w:r>
          </w:p>
        </w:tc>
        <w:tc>
          <w:tcPr>
            <w:tcW w:w="1060" w:type="dxa"/>
            <w:vMerge w:val="restart"/>
            <w:shd w:val="clear" w:color="auto" w:fill="auto"/>
            <w:noWrap/>
            <w:vAlign w:val="center"/>
          </w:tcPr>
          <w:p w14:paraId="24405BF8">
            <w:pPr>
              <w:jc w:val="center"/>
              <w:rPr>
                <w:rFonts w:ascii="仿宋" w:hAnsi="仿宋" w:eastAsia="仿宋" w:cs="宋体"/>
                <w:color w:val="000000"/>
                <w:sz w:val="18"/>
                <w:szCs w:val="18"/>
              </w:rPr>
            </w:pPr>
            <w:r>
              <w:rPr>
                <w:rFonts w:hint="eastAsia" w:ascii="仿宋" w:hAnsi="仿宋" w:eastAsia="仿宋"/>
                <w:color w:val="000000"/>
                <w:sz w:val="18"/>
                <w:szCs w:val="18"/>
              </w:rPr>
              <w:t>5</w:t>
            </w:r>
          </w:p>
        </w:tc>
      </w:tr>
      <w:tr w14:paraId="7F92FAA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2A01E4F9">
            <w:pPr>
              <w:widowControl/>
              <w:jc w:val="left"/>
              <w:rPr>
                <w:rFonts w:ascii="仿宋" w:hAnsi="仿宋" w:eastAsia="仿宋" w:cs="宋体"/>
                <w:kern w:val="0"/>
                <w:sz w:val="18"/>
                <w:szCs w:val="18"/>
              </w:rPr>
            </w:pPr>
          </w:p>
        </w:tc>
        <w:tc>
          <w:tcPr>
            <w:tcW w:w="1060" w:type="dxa"/>
            <w:vMerge w:val="continue"/>
            <w:shd w:val="clear" w:color="auto" w:fill="auto"/>
            <w:vAlign w:val="center"/>
          </w:tcPr>
          <w:p w14:paraId="0347A15A">
            <w:pPr>
              <w:widowControl/>
              <w:jc w:val="left"/>
              <w:rPr>
                <w:rFonts w:ascii="仿宋" w:hAnsi="仿宋" w:eastAsia="仿宋" w:cs="宋体"/>
                <w:kern w:val="0"/>
                <w:sz w:val="18"/>
                <w:szCs w:val="18"/>
              </w:rPr>
            </w:pPr>
          </w:p>
        </w:tc>
        <w:tc>
          <w:tcPr>
            <w:tcW w:w="2480" w:type="dxa"/>
            <w:vMerge w:val="continue"/>
            <w:shd w:val="clear" w:color="auto" w:fill="auto"/>
            <w:vAlign w:val="center"/>
          </w:tcPr>
          <w:p w14:paraId="116CCF4E">
            <w:pPr>
              <w:widowControl/>
              <w:jc w:val="left"/>
              <w:rPr>
                <w:rFonts w:ascii="仿宋" w:hAnsi="仿宋" w:eastAsia="仿宋" w:cs="宋体"/>
                <w:color w:val="000000"/>
                <w:kern w:val="0"/>
                <w:sz w:val="18"/>
                <w:szCs w:val="18"/>
              </w:rPr>
            </w:pPr>
          </w:p>
        </w:tc>
        <w:tc>
          <w:tcPr>
            <w:tcW w:w="3680" w:type="dxa"/>
            <w:shd w:val="clear" w:color="auto" w:fill="auto"/>
            <w:vAlign w:val="center"/>
          </w:tcPr>
          <w:p w14:paraId="43DFCE9B">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增加2个定期直达航点，计2分；差1个扣1分，多1个加1分，指标满分封顶。</w:t>
            </w:r>
          </w:p>
        </w:tc>
        <w:tc>
          <w:tcPr>
            <w:tcW w:w="1060" w:type="dxa"/>
            <w:vMerge w:val="continue"/>
            <w:shd w:val="clear" w:color="auto" w:fill="auto"/>
            <w:vAlign w:val="center"/>
          </w:tcPr>
          <w:p w14:paraId="58153CEC">
            <w:pPr>
              <w:widowControl/>
              <w:jc w:val="left"/>
              <w:rPr>
                <w:rFonts w:ascii="仿宋" w:hAnsi="仿宋" w:eastAsia="仿宋" w:cs="宋体"/>
                <w:color w:val="000000"/>
                <w:kern w:val="0"/>
                <w:sz w:val="18"/>
                <w:szCs w:val="18"/>
              </w:rPr>
            </w:pPr>
          </w:p>
        </w:tc>
      </w:tr>
      <w:tr w14:paraId="69938638">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64B2CF25">
            <w:pPr>
              <w:widowControl/>
              <w:jc w:val="left"/>
              <w:rPr>
                <w:rFonts w:ascii="仿宋" w:hAnsi="仿宋" w:eastAsia="仿宋" w:cs="宋体"/>
                <w:kern w:val="0"/>
                <w:sz w:val="18"/>
                <w:szCs w:val="18"/>
              </w:rPr>
            </w:pPr>
          </w:p>
        </w:tc>
        <w:tc>
          <w:tcPr>
            <w:tcW w:w="1060" w:type="dxa"/>
            <w:vMerge w:val="continue"/>
            <w:shd w:val="clear" w:color="auto" w:fill="auto"/>
            <w:vAlign w:val="center"/>
          </w:tcPr>
          <w:p w14:paraId="392F39B1">
            <w:pPr>
              <w:widowControl/>
              <w:jc w:val="left"/>
              <w:rPr>
                <w:rFonts w:ascii="仿宋" w:hAnsi="仿宋" w:eastAsia="仿宋" w:cs="宋体"/>
                <w:kern w:val="0"/>
                <w:sz w:val="18"/>
                <w:szCs w:val="18"/>
              </w:rPr>
            </w:pPr>
          </w:p>
        </w:tc>
        <w:tc>
          <w:tcPr>
            <w:tcW w:w="2480" w:type="dxa"/>
            <w:vMerge w:val="restart"/>
            <w:shd w:val="clear" w:color="auto" w:fill="auto"/>
            <w:vAlign w:val="center"/>
          </w:tcPr>
          <w:p w14:paraId="1764F093">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其他国际地区航线（5分）</w:t>
            </w:r>
          </w:p>
        </w:tc>
        <w:tc>
          <w:tcPr>
            <w:tcW w:w="3680" w:type="dxa"/>
            <w:shd w:val="clear" w:color="auto" w:fill="auto"/>
            <w:vAlign w:val="center"/>
          </w:tcPr>
          <w:p w14:paraId="478377AD">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①  稳定上年其他国际地区航点，计3分；减少1个扣1分，扣完为止；</w:t>
            </w:r>
          </w:p>
        </w:tc>
        <w:tc>
          <w:tcPr>
            <w:tcW w:w="1060" w:type="dxa"/>
            <w:vMerge w:val="restart"/>
            <w:shd w:val="clear" w:color="auto" w:fill="auto"/>
            <w:noWrap/>
            <w:vAlign w:val="center"/>
          </w:tcPr>
          <w:p w14:paraId="4E9AA65A">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5</w:t>
            </w:r>
          </w:p>
        </w:tc>
      </w:tr>
      <w:tr w14:paraId="6E33023E">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51E095C5">
            <w:pPr>
              <w:widowControl/>
              <w:jc w:val="left"/>
              <w:rPr>
                <w:rFonts w:ascii="仿宋" w:hAnsi="仿宋" w:eastAsia="仿宋" w:cs="宋体"/>
                <w:kern w:val="0"/>
                <w:sz w:val="18"/>
                <w:szCs w:val="18"/>
              </w:rPr>
            </w:pPr>
          </w:p>
        </w:tc>
        <w:tc>
          <w:tcPr>
            <w:tcW w:w="1060" w:type="dxa"/>
            <w:vMerge w:val="continue"/>
            <w:shd w:val="clear" w:color="auto" w:fill="auto"/>
            <w:vAlign w:val="center"/>
          </w:tcPr>
          <w:p w14:paraId="6CCF9E36">
            <w:pPr>
              <w:widowControl/>
              <w:jc w:val="left"/>
              <w:rPr>
                <w:rFonts w:ascii="仿宋" w:hAnsi="仿宋" w:eastAsia="仿宋" w:cs="宋体"/>
                <w:kern w:val="0"/>
                <w:sz w:val="18"/>
                <w:szCs w:val="18"/>
              </w:rPr>
            </w:pPr>
          </w:p>
        </w:tc>
        <w:tc>
          <w:tcPr>
            <w:tcW w:w="2480" w:type="dxa"/>
            <w:vMerge w:val="continue"/>
            <w:shd w:val="clear" w:color="auto" w:fill="auto"/>
            <w:vAlign w:val="center"/>
          </w:tcPr>
          <w:p w14:paraId="07DBA2B1">
            <w:pPr>
              <w:widowControl/>
              <w:jc w:val="left"/>
              <w:rPr>
                <w:rFonts w:ascii="仿宋" w:hAnsi="仿宋" w:eastAsia="仿宋" w:cs="宋体"/>
                <w:color w:val="000000"/>
                <w:kern w:val="0"/>
                <w:sz w:val="18"/>
                <w:szCs w:val="18"/>
              </w:rPr>
            </w:pPr>
          </w:p>
        </w:tc>
        <w:tc>
          <w:tcPr>
            <w:tcW w:w="3680" w:type="dxa"/>
            <w:shd w:val="clear" w:color="auto" w:fill="auto"/>
            <w:vAlign w:val="center"/>
          </w:tcPr>
          <w:p w14:paraId="6EB13506">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增加2个定期直达航点，计2分；差1个扣1分，多1个加1分，指标满分封顶。</w:t>
            </w:r>
          </w:p>
        </w:tc>
        <w:tc>
          <w:tcPr>
            <w:tcW w:w="1060" w:type="dxa"/>
            <w:vMerge w:val="continue"/>
            <w:shd w:val="clear" w:color="auto" w:fill="auto"/>
            <w:vAlign w:val="center"/>
          </w:tcPr>
          <w:p w14:paraId="1DC0E772">
            <w:pPr>
              <w:widowControl/>
              <w:jc w:val="left"/>
              <w:rPr>
                <w:rFonts w:ascii="仿宋" w:hAnsi="仿宋" w:eastAsia="仿宋" w:cs="宋体"/>
                <w:color w:val="000000"/>
                <w:kern w:val="0"/>
                <w:sz w:val="18"/>
                <w:szCs w:val="18"/>
              </w:rPr>
            </w:pPr>
          </w:p>
        </w:tc>
      </w:tr>
      <w:tr w14:paraId="7A104B6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348132B8">
            <w:pPr>
              <w:widowControl/>
              <w:jc w:val="left"/>
              <w:rPr>
                <w:rFonts w:ascii="仿宋" w:hAnsi="仿宋" w:eastAsia="仿宋" w:cs="宋体"/>
                <w:kern w:val="0"/>
                <w:sz w:val="18"/>
                <w:szCs w:val="18"/>
              </w:rPr>
            </w:pPr>
          </w:p>
        </w:tc>
        <w:tc>
          <w:tcPr>
            <w:tcW w:w="1060" w:type="dxa"/>
            <w:vMerge w:val="continue"/>
            <w:shd w:val="clear" w:color="auto" w:fill="auto"/>
            <w:vAlign w:val="center"/>
          </w:tcPr>
          <w:p w14:paraId="54478246">
            <w:pPr>
              <w:widowControl/>
              <w:jc w:val="left"/>
              <w:rPr>
                <w:rFonts w:ascii="仿宋" w:hAnsi="仿宋" w:eastAsia="仿宋" w:cs="宋体"/>
                <w:kern w:val="0"/>
                <w:sz w:val="18"/>
                <w:szCs w:val="18"/>
              </w:rPr>
            </w:pPr>
          </w:p>
        </w:tc>
        <w:tc>
          <w:tcPr>
            <w:tcW w:w="2480" w:type="dxa"/>
            <w:vMerge w:val="restart"/>
            <w:shd w:val="clear" w:color="auto" w:fill="auto"/>
            <w:vAlign w:val="center"/>
          </w:tcPr>
          <w:p w14:paraId="3C043D98">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国内航线（5分）</w:t>
            </w:r>
          </w:p>
        </w:tc>
        <w:tc>
          <w:tcPr>
            <w:tcW w:w="3680" w:type="dxa"/>
            <w:shd w:val="clear" w:color="auto" w:fill="auto"/>
            <w:vAlign w:val="center"/>
          </w:tcPr>
          <w:p w14:paraId="45BD1C89">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①  稳定上年国内航点，计2分；减少1个扣1分，扣完为止；</w:t>
            </w:r>
          </w:p>
        </w:tc>
        <w:tc>
          <w:tcPr>
            <w:tcW w:w="1060" w:type="dxa"/>
            <w:vMerge w:val="restart"/>
            <w:shd w:val="clear" w:color="auto" w:fill="auto"/>
            <w:noWrap/>
            <w:vAlign w:val="center"/>
          </w:tcPr>
          <w:p w14:paraId="18C01FEA">
            <w:pPr>
              <w:widowControl/>
              <w:jc w:val="center"/>
              <w:rPr>
                <w:rFonts w:ascii="仿宋" w:hAnsi="仿宋" w:eastAsia="仿宋" w:cs="宋体"/>
                <w:color w:val="000000"/>
                <w:kern w:val="0"/>
                <w:sz w:val="18"/>
                <w:szCs w:val="18"/>
              </w:rPr>
            </w:pPr>
            <w:r>
              <w:rPr>
                <w:rFonts w:hint="eastAsia" w:ascii="仿宋" w:hAnsi="仿宋" w:eastAsia="仿宋"/>
                <w:color w:val="000000"/>
                <w:sz w:val="18"/>
                <w:szCs w:val="18"/>
              </w:rPr>
              <w:t>5</w:t>
            </w:r>
          </w:p>
        </w:tc>
      </w:tr>
      <w:tr w14:paraId="323FC5D7">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160BA7B6">
            <w:pPr>
              <w:widowControl/>
              <w:jc w:val="left"/>
              <w:rPr>
                <w:rFonts w:ascii="仿宋" w:hAnsi="仿宋" w:eastAsia="仿宋" w:cs="宋体"/>
                <w:kern w:val="0"/>
                <w:sz w:val="18"/>
                <w:szCs w:val="18"/>
              </w:rPr>
            </w:pPr>
          </w:p>
        </w:tc>
        <w:tc>
          <w:tcPr>
            <w:tcW w:w="1060" w:type="dxa"/>
            <w:vMerge w:val="continue"/>
            <w:shd w:val="clear" w:color="auto" w:fill="auto"/>
            <w:vAlign w:val="center"/>
          </w:tcPr>
          <w:p w14:paraId="1896013A">
            <w:pPr>
              <w:widowControl/>
              <w:jc w:val="left"/>
              <w:rPr>
                <w:rFonts w:ascii="仿宋" w:hAnsi="仿宋" w:eastAsia="仿宋" w:cs="宋体"/>
                <w:kern w:val="0"/>
                <w:sz w:val="18"/>
                <w:szCs w:val="18"/>
              </w:rPr>
            </w:pPr>
          </w:p>
        </w:tc>
        <w:tc>
          <w:tcPr>
            <w:tcW w:w="2480" w:type="dxa"/>
            <w:vMerge w:val="continue"/>
            <w:shd w:val="clear" w:color="auto" w:fill="auto"/>
            <w:vAlign w:val="center"/>
          </w:tcPr>
          <w:p w14:paraId="26E70C53">
            <w:pPr>
              <w:widowControl/>
              <w:jc w:val="left"/>
              <w:rPr>
                <w:rFonts w:ascii="仿宋" w:hAnsi="仿宋" w:eastAsia="仿宋" w:cs="宋体"/>
                <w:color w:val="000000"/>
                <w:kern w:val="0"/>
                <w:sz w:val="18"/>
                <w:szCs w:val="18"/>
              </w:rPr>
            </w:pPr>
          </w:p>
        </w:tc>
        <w:tc>
          <w:tcPr>
            <w:tcW w:w="3680" w:type="dxa"/>
            <w:shd w:val="clear" w:color="auto" w:fill="auto"/>
            <w:vAlign w:val="center"/>
          </w:tcPr>
          <w:p w14:paraId="58F5DF89">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②  增加5个定期直达航点，计3分；差1个扣1分，多1个加1分，指标满分封顶。</w:t>
            </w:r>
          </w:p>
        </w:tc>
        <w:tc>
          <w:tcPr>
            <w:tcW w:w="1060" w:type="dxa"/>
            <w:vMerge w:val="continue"/>
            <w:shd w:val="clear" w:color="auto" w:fill="auto"/>
            <w:vAlign w:val="center"/>
          </w:tcPr>
          <w:p w14:paraId="4A972F8D">
            <w:pPr>
              <w:widowControl/>
              <w:jc w:val="left"/>
              <w:rPr>
                <w:rFonts w:ascii="仿宋" w:hAnsi="仿宋" w:eastAsia="仿宋" w:cs="宋体"/>
                <w:color w:val="000000"/>
                <w:kern w:val="0"/>
                <w:sz w:val="18"/>
                <w:szCs w:val="18"/>
              </w:rPr>
            </w:pPr>
          </w:p>
        </w:tc>
      </w:tr>
      <w:tr w14:paraId="36976A7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130C3B75">
            <w:pPr>
              <w:widowControl/>
              <w:jc w:val="left"/>
              <w:rPr>
                <w:rFonts w:ascii="仿宋" w:hAnsi="仿宋" w:eastAsia="仿宋" w:cs="宋体"/>
                <w:kern w:val="0"/>
                <w:sz w:val="18"/>
                <w:szCs w:val="18"/>
              </w:rPr>
            </w:pPr>
          </w:p>
        </w:tc>
        <w:tc>
          <w:tcPr>
            <w:tcW w:w="1060" w:type="dxa"/>
            <w:vMerge w:val="restart"/>
            <w:shd w:val="clear" w:color="auto" w:fill="auto"/>
            <w:vAlign w:val="center"/>
          </w:tcPr>
          <w:p w14:paraId="3EC6335A">
            <w:pPr>
              <w:jc w:val="center"/>
              <w:rPr>
                <w:rFonts w:ascii="仿宋" w:hAnsi="仿宋" w:eastAsia="仿宋" w:cs="宋体"/>
                <w:sz w:val="18"/>
                <w:szCs w:val="18"/>
              </w:rPr>
            </w:pPr>
            <w:r>
              <w:rPr>
                <w:rFonts w:hint="eastAsia" w:ascii="仿宋" w:hAnsi="仿宋" w:eastAsia="仿宋"/>
                <w:sz w:val="18"/>
                <w:szCs w:val="18"/>
              </w:rPr>
              <w:t>中转指标</w:t>
            </w:r>
            <w:r>
              <w:rPr>
                <w:rFonts w:hint="eastAsia" w:ascii="仿宋" w:hAnsi="仿宋" w:eastAsia="仿宋"/>
                <w:sz w:val="18"/>
                <w:szCs w:val="18"/>
              </w:rPr>
              <w:br w:type="textWrapping"/>
            </w:r>
            <w:r>
              <w:rPr>
                <w:rFonts w:hint="eastAsia" w:ascii="仿宋" w:hAnsi="仿宋" w:eastAsia="仿宋"/>
                <w:sz w:val="18"/>
                <w:szCs w:val="18"/>
              </w:rPr>
              <w:t>（7分）</w:t>
            </w:r>
          </w:p>
        </w:tc>
        <w:tc>
          <w:tcPr>
            <w:tcW w:w="2480" w:type="dxa"/>
            <w:vMerge w:val="restart"/>
            <w:shd w:val="clear" w:color="auto" w:fill="auto"/>
            <w:vAlign w:val="center"/>
          </w:tcPr>
          <w:p w14:paraId="221E9AB4">
            <w:pPr>
              <w:rPr>
                <w:rFonts w:ascii="仿宋" w:hAnsi="仿宋" w:eastAsia="仿宋" w:cs="宋体"/>
                <w:color w:val="000000"/>
                <w:sz w:val="18"/>
                <w:szCs w:val="18"/>
              </w:rPr>
            </w:pPr>
            <w:r>
              <w:rPr>
                <w:rFonts w:hint="eastAsia" w:ascii="仿宋" w:hAnsi="仿宋" w:eastAsia="仿宋"/>
                <w:color w:val="000000"/>
                <w:sz w:val="18"/>
                <w:szCs w:val="18"/>
              </w:rPr>
              <w:t>客运中转（2分）</w:t>
            </w:r>
          </w:p>
        </w:tc>
        <w:tc>
          <w:tcPr>
            <w:tcW w:w="3680" w:type="dxa"/>
            <w:shd w:val="clear" w:color="auto" w:fill="auto"/>
            <w:vAlign w:val="center"/>
          </w:tcPr>
          <w:p w14:paraId="4B35B813">
            <w:pPr>
              <w:rPr>
                <w:rFonts w:ascii="仿宋" w:hAnsi="仿宋" w:eastAsia="仿宋" w:cs="宋体"/>
                <w:sz w:val="18"/>
                <w:szCs w:val="18"/>
              </w:rPr>
            </w:pPr>
            <w:r>
              <w:rPr>
                <w:rFonts w:hint="eastAsia" w:ascii="仿宋" w:hAnsi="仿宋" w:eastAsia="仿宋"/>
                <w:sz w:val="18"/>
                <w:szCs w:val="18"/>
              </w:rPr>
              <w:t>①  客运中转总人数较上年增幅达到25%，计2分；</w:t>
            </w:r>
          </w:p>
        </w:tc>
        <w:tc>
          <w:tcPr>
            <w:tcW w:w="1060" w:type="dxa"/>
            <w:vMerge w:val="restart"/>
            <w:shd w:val="clear" w:color="auto" w:fill="auto"/>
            <w:noWrap/>
            <w:vAlign w:val="center"/>
          </w:tcPr>
          <w:p w14:paraId="37644A9E">
            <w:pPr>
              <w:jc w:val="center"/>
              <w:rPr>
                <w:rFonts w:ascii="仿宋" w:hAnsi="仿宋" w:eastAsia="仿宋" w:cs="宋体"/>
                <w:sz w:val="18"/>
                <w:szCs w:val="18"/>
              </w:rPr>
            </w:pPr>
            <w:r>
              <w:rPr>
                <w:rFonts w:hint="eastAsia" w:ascii="仿宋" w:hAnsi="仿宋" w:eastAsia="仿宋"/>
                <w:sz w:val="18"/>
                <w:szCs w:val="18"/>
              </w:rPr>
              <w:t xml:space="preserve">1.68 </w:t>
            </w:r>
          </w:p>
        </w:tc>
      </w:tr>
      <w:tr w14:paraId="2CD76CC4">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706D2728">
            <w:pPr>
              <w:widowControl/>
              <w:jc w:val="left"/>
              <w:rPr>
                <w:rFonts w:ascii="仿宋" w:hAnsi="仿宋" w:eastAsia="仿宋" w:cs="宋体"/>
                <w:kern w:val="0"/>
                <w:sz w:val="18"/>
                <w:szCs w:val="18"/>
              </w:rPr>
            </w:pPr>
          </w:p>
        </w:tc>
        <w:tc>
          <w:tcPr>
            <w:tcW w:w="1060" w:type="dxa"/>
            <w:vMerge w:val="continue"/>
            <w:shd w:val="clear" w:color="auto" w:fill="auto"/>
            <w:vAlign w:val="center"/>
          </w:tcPr>
          <w:p w14:paraId="4EB91F6D">
            <w:pPr>
              <w:widowControl/>
              <w:jc w:val="left"/>
              <w:rPr>
                <w:rFonts w:ascii="仿宋" w:hAnsi="仿宋" w:eastAsia="仿宋" w:cs="宋体"/>
                <w:kern w:val="0"/>
                <w:sz w:val="18"/>
                <w:szCs w:val="18"/>
              </w:rPr>
            </w:pPr>
          </w:p>
        </w:tc>
        <w:tc>
          <w:tcPr>
            <w:tcW w:w="2480" w:type="dxa"/>
            <w:vMerge w:val="continue"/>
            <w:shd w:val="clear" w:color="auto" w:fill="auto"/>
            <w:vAlign w:val="center"/>
          </w:tcPr>
          <w:p w14:paraId="579F254E">
            <w:pPr>
              <w:widowControl/>
              <w:jc w:val="left"/>
              <w:rPr>
                <w:rFonts w:ascii="仿宋" w:hAnsi="仿宋" w:eastAsia="仿宋" w:cs="宋体"/>
                <w:color w:val="000000"/>
                <w:kern w:val="0"/>
                <w:sz w:val="18"/>
                <w:szCs w:val="18"/>
              </w:rPr>
            </w:pPr>
          </w:p>
        </w:tc>
        <w:tc>
          <w:tcPr>
            <w:tcW w:w="3680" w:type="dxa"/>
            <w:shd w:val="clear" w:color="auto" w:fill="auto"/>
            <w:vAlign w:val="center"/>
          </w:tcPr>
          <w:p w14:paraId="670C11D1">
            <w:pPr>
              <w:widowControl/>
              <w:jc w:val="left"/>
              <w:rPr>
                <w:rFonts w:ascii="仿宋" w:hAnsi="仿宋" w:eastAsia="仿宋" w:cs="宋体"/>
                <w:kern w:val="0"/>
                <w:sz w:val="18"/>
                <w:szCs w:val="18"/>
              </w:rPr>
            </w:pPr>
            <w:r>
              <w:rPr>
                <w:rFonts w:hint="eastAsia" w:ascii="仿宋" w:hAnsi="仿宋" w:eastAsia="仿宋"/>
                <w:sz w:val="18"/>
                <w:szCs w:val="18"/>
              </w:rPr>
              <w:t>②  增幅在25%以下，按实际增幅与25%的比值，乘以2分计分，扣完为止。</w:t>
            </w:r>
          </w:p>
        </w:tc>
        <w:tc>
          <w:tcPr>
            <w:tcW w:w="1060" w:type="dxa"/>
            <w:vMerge w:val="continue"/>
            <w:shd w:val="clear" w:color="auto" w:fill="auto"/>
            <w:vAlign w:val="center"/>
          </w:tcPr>
          <w:p w14:paraId="0DE93915">
            <w:pPr>
              <w:widowControl/>
              <w:jc w:val="left"/>
              <w:rPr>
                <w:rFonts w:ascii="仿宋" w:hAnsi="仿宋" w:eastAsia="仿宋" w:cs="宋体"/>
                <w:kern w:val="0"/>
                <w:sz w:val="18"/>
                <w:szCs w:val="18"/>
              </w:rPr>
            </w:pPr>
          </w:p>
        </w:tc>
      </w:tr>
      <w:tr w14:paraId="6D10C69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05096935">
            <w:pPr>
              <w:widowControl/>
              <w:jc w:val="left"/>
              <w:rPr>
                <w:rFonts w:ascii="仿宋" w:hAnsi="仿宋" w:eastAsia="仿宋" w:cs="宋体"/>
                <w:kern w:val="0"/>
                <w:sz w:val="18"/>
                <w:szCs w:val="18"/>
              </w:rPr>
            </w:pPr>
          </w:p>
        </w:tc>
        <w:tc>
          <w:tcPr>
            <w:tcW w:w="1060" w:type="dxa"/>
            <w:vMerge w:val="continue"/>
            <w:shd w:val="clear" w:color="auto" w:fill="auto"/>
            <w:vAlign w:val="center"/>
          </w:tcPr>
          <w:p w14:paraId="34FFCB24">
            <w:pPr>
              <w:widowControl/>
              <w:jc w:val="left"/>
              <w:rPr>
                <w:rFonts w:ascii="仿宋" w:hAnsi="仿宋" w:eastAsia="仿宋" w:cs="宋体"/>
                <w:kern w:val="0"/>
                <w:sz w:val="18"/>
                <w:szCs w:val="18"/>
              </w:rPr>
            </w:pPr>
          </w:p>
        </w:tc>
        <w:tc>
          <w:tcPr>
            <w:tcW w:w="2480" w:type="dxa"/>
            <w:vMerge w:val="restart"/>
            <w:shd w:val="clear" w:color="auto" w:fill="auto"/>
            <w:vAlign w:val="center"/>
          </w:tcPr>
          <w:p w14:paraId="2D1EE505">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货邮中转（2分）</w:t>
            </w:r>
          </w:p>
        </w:tc>
        <w:tc>
          <w:tcPr>
            <w:tcW w:w="3680" w:type="dxa"/>
            <w:shd w:val="clear" w:color="auto" w:fill="auto"/>
            <w:vAlign w:val="center"/>
          </w:tcPr>
          <w:p w14:paraId="4308C072">
            <w:pPr>
              <w:widowControl/>
              <w:jc w:val="left"/>
              <w:rPr>
                <w:rFonts w:ascii="仿宋" w:hAnsi="仿宋" w:eastAsia="仿宋" w:cs="宋体"/>
                <w:kern w:val="0"/>
                <w:sz w:val="18"/>
                <w:szCs w:val="18"/>
              </w:rPr>
            </w:pPr>
            <w:r>
              <w:rPr>
                <w:rFonts w:hint="eastAsia" w:ascii="仿宋" w:hAnsi="仿宋" w:eastAsia="仿宋"/>
                <w:sz w:val="18"/>
                <w:szCs w:val="18"/>
              </w:rPr>
              <w:t>①  货邮中转总吨数较上年同期增幅达到10%，计2分；</w:t>
            </w:r>
          </w:p>
        </w:tc>
        <w:tc>
          <w:tcPr>
            <w:tcW w:w="1060" w:type="dxa"/>
            <w:vMerge w:val="restart"/>
            <w:shd w:val="clear" w:color="auto" w:fill="auto"/>
            <w:noWrap/>
            <w:vAlign w:val="center"/>
          </w:tcPr>
          <w:p w14:paraId="400AFEA3">
            <w:pPr>
              <w:widowControl/>
              <w:jc w:val="center"/>
              <w:rPr>
                <w:rFonts w:ascii="仿宋" w:hAnsi="仿宋" w:eastAsia="仿宋" w:cs="宋体"/>
                <w:kern w:val="0"/>
                <w:sz w:val="18"/>
                <w:szCs w:val="18"/>
              </w:rPr>
            </w:pPr>
            <w:r>
              <w:rPr>
                <w:rFonts w:hint="eastAsia" w:ascii="仿宋" w:hAnsi="仿宋" w:eastAsia="仿宋"/>
                <w:sz w:val="18"/>
                <w:szCs w:val="18"/>
              </w:rPr>
              <w:t xml:space="preserve">1.53 </w:t>
            </w:r>
          </w:p>
        </w:tc>
      </w:tr>
      <w:tr w14:paraId="4D4951A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776DB42F">
            <w:pPr>
              <w:widowControl/>
              <w:jc w:val="left"/>
              <w:rPr>
                <w:rFonts w:ascii="仿宋" w:hAnsi="仿宋" w:eastAsia="仿宋" w:cs="宋体"/>
                <w:kern w:val="0"/>
                <w:sz w:val="18"/>
                <w:szCs w:val="18"/>
              </w:rPr>
            </w:pPr>
          </w:p>
        </w:tc>
        <w:tc>
          <w:tcPr>
            <w:tcW w:w="1060" w:type="dxa"/>
            <w:vMerge w:val="continue"/>
            <w:shd w:val="clear" w:color="auto" w:fill="auto"/>
            <w:vAlign w:val="center"/>
          </w:tcPr>
          <w:p w14:paraId="3B36C94A">
            <w:pPr>
              <w:widowControl/>
              <w:jc w:val="left"/>
              <w:rPr>
                <w:rFonts w:ascii="仿宋" w:hAnsi="仿宋" w:eastAsia="仿宋" w:cs="宋体"/>
                <w:kern w:val="0"/>
                <w:sz w:val="18"/>
                <w:szCs w:val="18"/>
              </w:rPr>
            </w:pPr>
          </w:p>
        </w:tc>
        <w:tc>
          <w:tcPr>
            <w:tcW w:w="2480" w:type="dxa"/>
            <w:vMerge w:val="continue"/>
            <w:shd w:val="clear" w:color="auto" w:fill="auto"/>
            <w:vAlign w:val="center"/>
          </w:tcPr>
          <w:p w14:paraId="2ECD22A9">
            <w:pPr>
              <w:widowControl/>
              <w:jc w:val="left"/>
              <w:rPr>
                <w:rFonts w:ascii="仿宋" w:hAnsi="仿宋" w:eastAsia="仿宋" w:cs="宋体"/>
                <w:color w:val="000000"/>
                <w:kern w:val="0"/>
                <w:sz w:val="18"/>
                <w:szCs w:val="18"/>
              </w:rPr>
            </w:pPr>
          </w:p>
        </w:tc>
        <w:tc>
          <w:tcPr>
            <w:tcW w:w="3680" w:type="dxa"/>
            <w:shd w:val="clear" w:color="auto" w:fill="auto"/>
            <w:vAlign w:val="center"/>
          </w:tcPr>
          <w:p w14:paraId="6A2B8E6E">
            <w:pPr>
              <w:widowControl/>
              <w:jc w:val="left"/>
              <w:rPr>
                <w:rFonts w:ascii="仿宋" w:hAnsi="仿宋" w:eastAsia="仿宋" w:cs="宋体"/>
                <w:kern w:val="0"/>
                <w:sz w:val="18"/>
                <w:szCs w:val="18"/>
              </w:rPr>
            </w:pPr>
            <w:r>
              <w:rPr>
                <w:rFonts w:hint="eastAsia" w:ascii="仿宋" w:hAnsi="仿宋" w:eastAsia="仿宋"/>
                <w:sz w:val="18"/>
                <w:szCs w:val="18"/>
              </w:rPr>
              <w:t>②  增幅在10%以下，按实际增幅与10%的比值，乘以2分计分，扣完为止。</w:t>
            </w:r>
          </w:p>
        </w:tc>
        <w:tc>
          <w:tcPr>
            <w:tcW w:w="1060" w:type="dxa"/>
            <w:vMerge w:val="continue"/>
            <w:shd w:val="clear" w:color="auto" w:fill="auto"/>
            <w:vAlign w:val="center"/>
          </w:tcPr>
          <w:p w14:paraId="36CFF9B6">
            <w:pPr>
              <w:widowControl/>
              <w:jc w:val="left"/>
              <w:rPr>
                <w:rFonts w:ascii="仿宋" w:hAnsi="仿宋" w:eastAsia="仿宋" w:cs="宋体"/>
                <w:kern w:val="0"/>
                <w:sz w:val="18"/>
                <w:szCs w:val="18"/>
              </w:rPr>
            </w:pPr>
          </w:p>
        </w:tc>
      </w:tr>
      <w:tr w14:paraId="1206418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5F52E085">
            <w:pPr>
              <w:widowControl/>
              <w:jc w:val="left"/>
              <w:rPr>
                <w:rFonts w:ascii="仿宋" w:hAnsi="仿宋" w:eastAsia="仿宋" w:cs="宋体"/>
                <w:kern w:val="0"/>
                <w:sz w:val="18"/>
                <w:szCs w:val="18"/>
              </w:rPr>
            </w:pPr>
          </w:p>
        </w:tc>
        <w:tc>
          <w:tcPr>
            <w:tcW w:w="1060" w:type="dxa"/>
            <w:vMerge w:val="continue"/>
            <w:shd w:val="clear" w:color="auto" w:fill="auto"/>
            <w:vAlign w:val="center"/>
          </w:tcPr>
          <w:p w14:paraId="596CDAE0">
            <w:pPr>
              <w:widowControl/>
              <w:jc w:val="left"/>
              <w:rPr>
                <w:rFonts w:ascii="仿宋" w:hAnsi="仿宋" w:eastAsia="仿宋" w:cs="宋体"/>
                <w:kern w:val="0"/>
                <w:sz w:val="18"/>
                <w:szCs w:val="18"/>
              </w:rPr>
            </w:pPr>
          </w:p>
        </w:tc>
        <w:tc>
          <w:tcPr>
            <w:tcW w:w="2480" w:type="dxa"/>
            <w:vMerge w:val="restart"/>
            <w:shd w:val="clear" w:color="auto" w:fill="auto"/>
            <w:vAlign w:val="center"/>
          </w:tcPr>
          <w:p w14:paraId="0816BBB8">
            <w:pPr>
              <w:widowControl/>
              <w:jc w:val="left"/>
              <w:rPr>
                <w:rFonts w:ascii="仿宋" w:hAnsi="仿宋" w:eastAsia="仿宋" w:cs="宋体"/>
                <w:color w:val="000000"/>
                <w:kern w:val="0"/>
                <w:sz w:val="18"/>
                <w:szCs w:val="18"/>
              </w:rPr>
            </w:pPr>
            <w:r>
              <w:rPr>
                <w:rFonts w:hint="eastAsia" w:ascii="仿宋" w:hAnsi="仿宋" w:eastAsia="仿宋"/>
                <w:color w:val="000000"/>
                <w:sz w:val="18"/>
                <w:szCs w:val="18"/>
              </w:rPr>
              <w:t>跨航司中转试点（3分）</w:t>
            </w:r>
          </w:p>
        </w:tc>
        <w:tc>
          <w:tcPr>
            <w:tcW w:w="3680" w:type="dxa"/>
            <w:shd w:val="clear" w:color="auto" w:fill="auto"/>
            <w:vAlign w:val="center"/>
          </w:tcPr>
          <w:p w14:paraId="10322E2B">
            <w:pPr>
              <w:widowControl/>
              <w:jc w:val="left"/>
              <w:rPr>
                <w:rFonts w:ascii="仿宋" w:hAnsi="仿宋" w:eastAsia="仿宋" w:cs="宋体"/>
                <w:kern w:val="0"/>
                <w:sz w:val="18"/>
                <w:szCs w:val="18"/>
              </w:rPr>
            </w:pPr>
            <w:r>
              <w:rPr>
                <w:rFonts w:hint="eastAsia" w:ascii="仿宋" w:hAnsi="仿宋" w:eastAsia="仿宋"/>
                <w:sz w:val="18"/>
                <w:szCs w:val="18"/>
              </w:rPr>
              <w:t>①  编制国内中转旅客“跨航司”行李直挂服务试点报告，并上报民航局，计1分；</w:t>
            </w:r>
          </w:p>
        </w:tc>
        <w:tc>
          <w:tcPr>
            <w:tcW w:w="1060" w:type="dxa"/>
            <w:vMerge w:val="restart"/>
            <w:shd w:val="clear" w:color="auto" w:fill="auto"/>
            <w:noWrap/>
            <w:vAlign w:val="center"/>
          </w:tcPr>
          <w:p w14:paraId="524671EF">
            <w:pPr>
              <w:widowControl/>
              <w:jc w:val="center"/>
              <w:rPr>
                <w:rFonts w:ascii="仿宋" w:hAnsi="仿宋" w:eastAsia="仿宋" w:cs="宋体"/>
                <w:kern w:val="0"/>
                <w:sz w:val="18"/>
                <w:szCs w:val="18"/>
              </w:rPr>
            </w:pPr>
            <w:r>
              <w:rPr>
                <w:rFonts w:hint="eastAsia" w:ascii="仿宋" w:hAnsi="仿宋" w:eastAsia="仿宋"/>
                <w:sz w:val="18"/>
                <w:szCs w:val="18"/>
              </w:rPr>
              <w:t>3</w:t>
            </w:r>
          </w:p>
        </w:tc>
      </w:tr>
      <w:tr w14:paraId="3E89CFFC">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42A69C8D">
            <w:pPr>
              <w:widowControl/>
              <w:jc w:val="left"/>
              <w:rPr>
                <w:rFonts w:ascii="仿宋" w:hAnsi="仿宋" w:eastAsia="仿宋" w:cs="宋体"/>
                <w:kern w:val="0"/>
                <w:sz w:val="18"/>
                <w:szCs w:val="18"/>
              </w:rPr>
            </w:pPr>
          </w:p>
        </w:tc>
        <w:tc>
          <w:tcPr>
            <w:tcW w:w="1060" w:type="dxa"/>
            <w:vMerge w:val="continue"/>
            <w:shd w:val="clear" w:color="auto" w:fill="auto"/>
            <w:vAlign w:val="center"/>
          </w:tcPr>
          <w:p w14:paraId="5C696E0D">
            <w:pPr>
              <w:widowControl/>
              <w:jc w:val="left"/>
              <w:rPr>
                <w:rFonts w:ascii="仿宋" w:hAnsi="仿宋" w:eastAsia="仿宋" w:cs="宋体"/>
                <w:kern w:val="0"/>
                <w:sz w:val="18"/>
                <w:szCs w:val="18"/>
              </w:rPr>
            </w:pPr>
          </w:p>
        </w:tc>
        <w:tc>
          <w:tcPr>
            <w:tcW w:w="2480" w:type="dxa"/>
            <w:vMerge w:val="continue"/>
            <w:shd w:val="clear" w:color="auto" w:fill="auto"/>
            <w:vAlign w:val="center"/>
          </w:tcPr>
          <w:p w14:paraId="4918C9A1">
            <w:pPr>
              <w:widowControl/>
              <w:jc w:val="left"/>
              <w:rPr>
                <w:rFonts w:ascii="仿宋" w:hAnsi="仿宋" w:eastAsia="仿宋" w:cs="宋体"/>
                <w:color w:val="000000"/>
                <w:kern w:val="0"/>
                <w:sz w:val="18"/>
                <w:szCs w:val="18"/>
              </w:rPr>
            </w:pPr>
          </w:p>
        </w:tc>
        <w:tc>
          <w:tcPr>
            <w:tcW w:w="3680" w:type="dxa"/>
            <w:shd w:val="clear" w:color="auto" w:fill="auto"/>
            <w:vAlign w:val="center"/>
          </w:tcPr>
          <w:p w14:paraId="43993A89">
            <w:pPr>
              <w:widowControl/>
              <w:jc w:val="left"/>
              <w:rPr>
                <w:rFonts w:ascii="仿宋" w:hAnsi="仿宋" w:eastAsia="仿宋" w:cs="宋体"/>
                <w:kern w:val="0"/>
                <w:sz w:val="18"/>
                <w:szCs w:val="18"/>
              </w:rPr>
            </w:pPr>
            <w:r>
              <w:rPr>
                <w:rFonts w:hint="eastAsia" w:ascii="仿宋" w:hAnsi="仿宋" w:eastAsia="仿宋"/>
                <w:sz w:val="18"/>
                <w:szCs w:val="18"/>
              </w:rPr>
              <w:t>②  获民航局审批为国内中转旅客“跨航司”行李直挂服务试点单位，计2分。</w:t>
            </w:r>
          </w:p>
        </w:tc>
        <w:tc>
          <w:tcPr>
            <w:tcW w:w="1060" w:type="dxa"/>
            <w:vMerge w:val="continue"/>
            <w:shd w:val="clear" w:color="auto" w:fill="auto"/>
            <w:vAlign w:val="center"/>
          </w:tcPr>
          <w:p w14:paraId="46FD885C">
            <w:pPr>
              <w:widowControl/>
              <w:jc w:val="left"/>
              <w:rPr>
                <w:rFonts w:ascii="仿宋" w:hAnsi="仿宋" w:eastAsia="仿宋" w:cs="宋体"/>
                <w:kern w:val="0"/>
                <w:sz w:val="18"/>
                <w:szCs w:val="18"/>
              </w:rPr>
            </w:pPr>
          </w:p>
        </w:tc>
      </w:tr>
      <w:tr w14:paraId="2B652D1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3" w:hRule="atLeast"/>
        </w:trPr>
        <w:tc>
          <w:tcPr>
            <w:tcW w:w="1060" w:type="dxa"/>
            <w:vMerge w:val="restart"/>
            <w:shd w:val="clear" w:color="auto" w:fill="auto"/>
            <w:vAlign w:val="center"/>
          </w:tcPr>
          <w:p w14:paraId="351D901F">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效益</w:t>
            </w:r>
            <w:r>
              <w:rPr>
                <w:rFonts w:hint="eastAsia" w:ascii="仿宋" w:hAnsi="仿宋" w:eastAsia="仿宋" w:cs="宋体"/>
                <w:color w:val="000000"/>
                <w:kern w:val="0"/>
                <w:sz w:val="18"/>
                <w:szCs w:val="18"/>
              </w:rPr>
              <w:br w:type="textWrapping"/>
            </w:r>
            <w:r>
              <w:rPr>
                <w:rFonts w:hint="eastAsia" w:ascii="仿宋" w:hAnsi="仿宋" w:eastAsia="仿宋" w:cs="宋体"/>
                <w:color w:val="000000"/>
                <w:kern w:val="0"/>
                <w:sz w:val="18"/>
                <w:szCs w:val="18"/>
              </w:rPr>
              <w:t>（30分）</w:t>
            </w:r>
          </w:p>
        </w:tc>
        <w:tc>
          <w:tcPr>
            <w:tcW w:w="1060" w:type="dxa"/>
            <w:vMerge w:val="restart"/>
            <w:shd w:val="clear" w:color="auto" w:fill="auto"/>
            <w:vAlign w:val="center"/>
          </w:tcPr>
          <w:p w14:paraId="15DEDFF9">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社会效益</w:t>
            </w:r>
            <w:r>
              <w:rPr>
                <w:rFonts w:hint="eastAsia" w:ascii="仿宋" w:hAnsi="仿宋" w:eastAsia="仿宋" w:cs="宋体"/>
                <w:color w:val="000000"/>
                <w:kern w:val="0"/>
                <w:sz w:val="18"/>
                <w:szCs w:val="18"/>
              </w:rPr>
              <w:br w:type="textWrapping"/>
            </w:r>
            <w:r>
              <w:rPr>
                <w:rFonts w:hint="eastAsia" w:ascii="仿宋" w:hAnsi="仿宋" w:eastAsia="仿宋" w:cs="宋体"/>
                <w:color w:val="000000"/>
                <w:kern w:val="0"/>
                <w:sz w:val="18"/>
                <w:szCs w:val="18"/>
              </w:rPr>
              <w:t>（12分）</w:t>
            </w:r>
          </w:p>
        </w:tc>
        <w:tc>
          <w:tcPr>
            <w:tcW w:w="2480" w:type="dxa"/>
            <w:vMerge w:val="restart"/>
            <w:shd w:val="clear" w:color="auto" w:fill="auto"/>
            <w:vAlign w:val="center"/>
          </w:tcPr>
          <w:p w14:paraId="33ADD220">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旅客吞吐量全国排名（6分）</w:t>
            </w:r>
          </w:p>
        </w:tc>
        <w:tc>
          <w:tcPr>
            <w:tcW w:w="3680" w:type="dxa"/>
            <w:shd w:val="clear" w:color="auto" w:fill="auto"/>
            <w:vAlign w:val="center"/>
          </w:tcPr>
          <w:p w14:paraId="70835930">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①  与上年排名持平，计3分；</w:t>
            </w:r>
          </w:p>
        </w:tc>
        <w:tc>
          <w:tcPr>
            <w:tcW w:w="1060" w:type="dxa"/>
            <w:vMerge w:val="restart"/>
            <w:shd w:val="clear" w:color="auto" w:fill="auto"/>
            <w:noWrap/>
            <w:vAlign w:val="center"/>
          </w:tcPr>
          <w:p w14:paraId="040DA500">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6</w:t>
            </w:r>
          </w:p>
        </w:tc>
      </w:tr>
      <w:tr w14:paraId="356F8572">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6" w:hRule="atLeast"/>
        </w:trPr>
        <w:tc>
          <w:tcPr>
            <w:tcW w:w="1060" w:type="dxa"/>
            <w:vMerge w:val="continue"/>
            <w:shd w:val="clear" w:color="auto" w:fill="auto"/>
            <w:vAlign w:val="center"/>
          </w:tcPr>
          <w:p w14:paraId="47381CC6">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12B07EEE">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25605A71">
            <w:pPr>
              <w:widowControl/>
              <w:jc w:val="left"/>
              <w:rPr>
                <w:rFonts w:ascii="仿宋" w:hAnsi="仿宋" w:eastAsia="仿宋" w:cs="宋体"/>
                <w:color w:val="000000"/>
                <w:kern w:val="0"/>
                <w:sz w:val="18"/>
                <w:szCs w:val="18"/>
              </w:rPr>
            </w:pPr>
          </w:p>
        </w:tc>
        <w:tc>
          <w:tcPr>
            <w:tcW w:w="3680" w:type="dxa"/>
            <w:shd w:val="clear" w:color="auto" w:fill="auto"/>
            <w:vAlign w:val="center"/>
          </w:tcPr>
          <w:p w14:paraId="42D175EA">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②  排名升高，计6分；</w:t>
            </w:r>
          </w:p>
        </w:tc>
        <w:tc>
          <w:tcPr>
            <w:tcW w:w="1060" w:type="dxa"/>
            <w:vMerge w:val="continue"/>
            <w:shd w:val="clear" w:color="auto" w:fill="auto"/>
            <w:vAlign w:val="center"/>
          </w:tcPr>
          <w:p w14:paraId="102E0F46">
            <w:pPr>
              <w:widowControl/>
              <w:jc w:val="left"/>
              <w:rPr>
                <w:rFonts w:ascii="仿宋" w:hAnsi="仿宋" w:eastAsia="仿宋" w:cs="宋体"/>
                <w:color w:val="000000"/>
                <w:kern w:val="0"/>
                <w:sz w:val="18"/>
                <w:szCs w:val="18"/>
              </w:rPr>
            </w:pPr>
          </w:p>
        </w:tc>
      </w:tr>
      <w:tr w14:paraId="583F7406">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vMerge w:val="continue"/>
            <w:shd w:val="clear" w:color="auto" w:fill="auto"/>
            <w:vAlign w:val="center"/>
          </w:tcPr>
          <w:p w14:paraId="1E9B0E19">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01E4D142">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423AAB6B">
            <w:pPr>
              <w:widowControl/>
              <w:jc w:val="left"/>
              <w:rPr>
                <w:rFonts w:ascii="仿宋" w:hAnsi="仿宋" w:eastAsia="仿宋" w:cs="宋体"/>
                <w:color w:val="000000"/>
                <w:kern w:val="0"/>
                <w:sz w:val="18"/>
                <w:szCs w:val="18"/>
              </w:rPr>
            </w:pPr>
          </w:p>
        </w:tc>
        <w:tc>
          <w:tcPr>
            <w:tcW w:w="3680" w:type="dxa"/>
            <w:shd w:val="clear" w:color="auto" w:fill="auto"/>
            <w:vAlign w:val="center"/>
          </w:tcPr>
          <w:p w14:paraId="088B3A60">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③  排名降低不得分，计0分。</w:t>
            </w:r>
          </w:p>
        </w:tc>
        <w:tc>
          <w:tcPr>
            <w:tcW w:w="1060" w:type="dxa"/>
            <w:vMerge w:val="continue"/>
            <w:shd w:val="clear" w:color="auto" w:fill="auto"/>
            <w:vAlign w:val="center"/>
          </w:tcPr>
          <w:p w14:paraId="7C027F0E">
            <w:pPr>
              <w:widowControl/>
              <w:jc w:val="left"/>
              <w:rPr>
                <w:rFonts w:ascii="仿宋" w:hAnsi="仿宋" w:eastAsia="仿宋" w:cs="宋体"/>
                <w:color w:val="000000"/>
                <w:kern w:val="0"/>
                <w:sz w:val="18"/>
                <w:szCs w:val="18"/>
              </w:rPr>
            </w:pPr>
          </w:p>
        </w:tc>
      </w:tr>
      <w:tr w14:paraId="25597B3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vMerge w:val="continue"/>
            <w:shd w:val="clear" w:color="auto" w:fill="auto"/>
            <w:vAlign w:val="center"/>
          </w:tcPr>
          <w:p w14:paraId="3AEFDE12">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3762F215">
            <w:pPr>
              <w:widowControl/>
              <w:jc w:val="left"/>
              <w:rPr>
                <w:rFonts w:ascii="仿宋" w:hAnsi="仿宋" w:eastAsia="仿宋" w:cs="宋体"/>
                <w:color w:val="000000"/>
                <w:kern w:val="0"/>
                <w:sz w:val="18"/>
                <w:szCs w:val="18"/>
              </w:rPr>
            </w:pPr>
          </w:p>
        </w:tc>
        <w:tc>
          <w:tcPr>
            <w:tcW w:w="2480" w:type="dxa"/>
            <w:vMerge w:val="restart"/>
            <w:shd w:val="clear" w:color="auto" w:fill="auto"/>
            <w:vAlign w:val="center"/>
          </w:tcPr>
          <w:p w14:paraId="35CAA35E">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货邮吞吐量全国排名（6分）</w:t>
            </w:r>
          </w:p>
        </w:tc>
        <w:tc>
          <w:tcPr>
            <w:tcW w:w="3680" w:type="dxa"/>
            <w:shd w:val="clear" w:color="auto" w:fill="auto"/>
            <w:vAlign w:val="center"/>
          </w:tcPr>
          <w:p w14:paraId="56D91A92">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①  与上年排名持平，计3分；</w:t>
            </w:r>
          </w:p>
        </w:tc>
        <w:tc>
          <w:tcPr>
            <w:tcW w:w="1060" w:type="dxa"/>
            <w:vMerge w:val="restart"/>
            <w:shd w:val="clear" w:color="auto" w:fill="auto"/>
            <w:noWrap/>
            <w:vAlign w:val="center"/>
          </w:tcPr>
          <w:p w14:paraId="7A21512A">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6</w:t>
            </w:r>
          </w:p>
        </w:tc>
      </w:tr>
      <w:tr w14:paraId="2AACEEB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vMerge w:val="continue"/>
            <w:shd w:val="clear" w:color="auto" w:fill="auto"/>
            <w:vAlign w:val="center"/>
          </w:tcPr>
          <w:p w14:paraId="7EAA8F4A">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63FCA234">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38EEA8BB">
            <w:pPr>
              <w:widowControl/>
              <w:jc w:val="left"/>
              <w:rPr>
                <w:rFonts w:ascii="仿宋" w:hAnsi="仿宋" w:eastAsia="仿宋" w:cs="宋体"/>
                <w:color w:val="000000"/>
                <w:kern w:val="0"/>
                <w:sz w:val="18"/>
                <w:szCs w:val="18"/>
              </w:rPr>
            </w:pPr>
          </w:p>
        </w:tc>
        <w:tc>
          <w:tcPr>
            <w:tcW w:w="3680" w:type="dxa"/>
            <w:shd w:val="clear" w:color="auto" w:fill="auto"/>
            <w:vAlign w:val="center"/>
          </w:tcPr>
          <w:p w14:paraId="547FB67D">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②  排名升高，计6分；</w:t>
            </w:r>
          </w:p>
        </w:tc>
        <w:tc>
          <w:tcPr>
            <w:tcW w:w="1060" w:type="dxa"/>
            <w:vMerge w:val="continue"/>
            <w:shd w:val="clear" w:color="auto" w:fill="auto"/>
            <w:vAlign w:val="center"/>
          </w:tcPr>
          <w:p w14:paraId="26280769">
            <w:pPr>
              <w:widowControl/>
              <w:jc w:val="left"/>
              <w:rPr>
                <w:rFonts w:ascii="仿宋" w:hAnsi="仿宋" w:eastAsia="仿宋" w:cs="宋体"/>
                <w:color w:val="000000"/>
                <w:kern w:val="0"/>
                <w:sz w:val="18"/>
                <w:szCs w:val="18"/>
              </w:rPr>
            </w:pPr>
          </w:p>
        </w:tc>
      </w:tr>
      <w:tr w14:paraId="4FCB9567">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vMerge w:val="continue"/>
            <w:shd w:val="clear" w:color="auto" w:fill="auto"/>
            <w:vAlign w:val="center"/>
          </w:tcPr>
          <w:p w14:paraId="603B1443">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38413268">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608289B7">
            <w:pPr>
              <w:widowControl/>
              <w:jc w:val="left"/>
              <w:rPr>
                <w:rFonts w:ascii="仿宋" w:hAnsi="仿宋" w:eastAsia="仿宋" w:cs="宋体"/>
                <w:color w:val="000000"/>
                <w:kern w:val="0"/>
                <w:sz w:val="18"/>
                <w:szCs w:val="18"/>
              </w:rPr>
            </w:pPr>
          </w:p>
        </w:tc>
        <w:tc>
          <w:tcPr>
            <w:tcW w:w="3680" w:type="dxa"/>
            <w:shd w:val="clear" w:color="auto" w:fill="auto"/>
            <w:vAlign w:val="center"/>
          </w:tcPr>
          <w:p w14:paraId="234FBD2A">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③  排名降低不得分，计0分。</w:t>
            </w:r>
          </w:p>
        </w:tc>
        <w:tc>
          <w:tcPr>
            <w:tcW w:w="1060" w:type="dxa"/>
            <w:vMerge w:val="continue"/>
            <w:shd w:val="clear" w:color="auto" w:fill="auto"/>
            <w:vAlign w:val="center"/>
          </w:tcPr>
          <w:p w14:paraId="33EA150F">
            <w:pPr>
              <w:widowControl/>
              <w:jc w:val="left"/>
              <w:rPr>
                <w:rFonts w:ascii="仿宋" w:hAnsi="仿宋" w:eastAsia="仿宋" w:cs="宋体"/>
                <w:color w:val="000000"/>
                <w:kern w:val="0"/>
                <w:sz w:val="18"/>
                <w:szCs w:val="18"/>
              </w:rPr>
            </w:pPr>
          </w:p>
        </w:tc>
      </w:tr>
      <w:tr w14:paraId="10C880F2">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756" w:hRule="atLeast"/>
        </w:trPr>
        <w:tc>
          <w:tcPr>
            <w:tcW w:w="1060" w:type="dxa"/>
            <w:vMerge w:val="continue"/>
            <w:shd w:val="clear" w:color="auto" w:fill="auto"/>
            <w:vAlign w:val="center"/>
          </w:tcPr>
          <w:p w14:paraId="693F74A0">
            <w:pPr>
              <w:widowControl/>
              <w:jc w:val="left"/>
              <w:rPr>
                <w:rFonts w:ascii="仿宋" w:hAnsi="仿宋" w:eastAsia="仿宋" w:cs="宋体"/>
                <w:color w:val="000000"/>
                <w:kern w:val="0"/>
                <w:sz w:val="18"/>
                <w:szCs w:val="18"/>
              </w:rPr>
            </w:pPr>
          </w:p>
        </w:tc>
        <w:tc>
          <w:tcPr>
            <w:tcW w:w="1060" w:type="dxa"/>
            <w:vMerge w:val="restart"/>
            <w:shd w:val="clear" w:color="auto" w:fill="auto"/>
            <w:vAlign w:val="center"/>
          </w:tcPr>
          <w:p w14:paraId="68C4E071">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经济效益</w:t>
            </w:r>
            <w:r>
              <w:rPr>
                <w:rFonts w:hint="eastAsia" w:ascii="仿宋" w:hAnsi="仿宋" w:eastAsia="仿宋" w:cs="宋体"/>
                <w:color w:val="000000"/>
                <w:kern w:val="0"/>
                <w:sz w:val="18"/>
                <w:szCs w:val="18"/>
              </w:rPr>
              <w:br w:type="textWrapping"/>
            </w:r>
            <w:r>
              <w:rPr>
                <w:rFonts w:hint="eastAsia" w:ascii="仿宋" w:hAnsi="仿宋" w:eastAsia="仿宋" w:cs="宋体"/>
                <w:color w:val="000000"/>
                <w:kern w:val="0"/>
                <w:sz w:val="18"/>
                <w:szCs w:val="18"/>
              </w:rPr>
              <w:t>（6分）</w:t>
            </w:r>
          </w:p>
        </w:tc>
        <w:tc>
          <w:tcPr>
            <w:tcW w:w="2480" w:type="dxa"/>
            <w:vMerge w:val="restart"/>
            <w:shd w:val="clear" w:color="auto" w:fill="auto"/>
            <w:vAlign w:val="center"/>
          </w:tcPr>
          <w:p w14:paraId="5D2945CD">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平台资金带动系数（6分）</w:t>
            </w:r>
          </w:p>
        </w:tc>
        <w:tc>
          <w:tcPr>
            <w:tcW w:w="3680" w:type="dxa"/>
            <w:shd w:val="clear" w:color="auto" w:fill="auto"/>
            <w:vAlign w:val="center"/>
          </w:tcPr>
          <w:p w14:paraId="2061B200">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平台资金带动系数=（平台企业配比出资+优惠减免各类运营收费+开展民航市场推广费用）/政府投入专项资金</w:t>
            </w:r>
            <w:r>
              <w:rPr>
                <w:rFonts w:hint="eastAsia" w:ascii="仿宋" w:hAnsi="仿宋" w:eastAsia="仿宋" w:cs="宋体"/>
                <w:kern w:val="0"/>
                <w:sz w:val="18"/>
                <w:szCs w:val="18"/>
              </w:rPr>
              <w:t>×</w:t>
            </w:r>
            <w:r>
              <w:rPr>
                <w:rFonts w:hint="eastAsia" w:ascii="仿宋" w:hAnsi="仿宋" w:eastAsia="仿宋" w:cs="宋体"/>
                <w:color w:val="000000"/>
                <w:kern w:val="0"/>
                <w:sz w:val="18"/>
                <w:szCs w:val="18"/>
              </w:rPr>
              <w:t>100%</w:t>
            </w:r>
          </w:p>
        </w:tc>
        <w:tc>
          <w:tcPr>
            <w:tcW w:w="1060" w:type="dxa"/>
            <w:vMerge w:val="restart"/>
            <w:shd w:val="clear" w:color="auto" w:fill="auto"/>
            <w:noWrap/>
            <w:vAlign w:val="center"/>
          </w:tcPr>
          <w:p w14:paraId="03C7A437">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6</w:t>
            </w:r>
          </w:p>
        </w:tc>
      </w:tr>
      <w:tr w14:paraId="00A2743B">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vMerge w:val="continue"/>
            <w:shd w:val="clear" w:color="auto" w:fill="auto"/>
            <w:vAlign w:val="center"/>
          </w:tcPr>
          <w:p w14:paraId="53EA57D2">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66998DAF">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2D62FAC5">
            <w:pPr>
              <w:widowControl/>
              <w:jc w:val="left"/>
              <w:rPr>
                <w:rFonts w:ascii="仿宋" w:hAnsi="仿宋" w:eastAsia="仿宋" w:cs="宋体"/>
                <w:color w:val="000000"/>
                <w:kern w:val="0"/>
                <w:sz w:val="18"/>
                <w:szCs w:val="18"/>
              </w:rPr>
            </w:pPr>
          </w:p>
        </w:tc>
        <w:tc>
          <w:tcPr>
            <w:tcW w:w="3680" w:type="dxa"/>
            <w:shd w:val="clear" w:color="auto" w:fill="auto"/>
            <w:vAlign w:val="center"/>
          </w:tcPr>
          <w:p w14:paraId="72075208">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①  平台资金带动系数达到3%，计6分；</w:t>
            </w:r>
          </w:p>
        </w:tc>
        <w:tc>
          <w:tcPr>
            <w:tcW w:w="1060" w:type="dxa"/>
            <w:vMerge w:val="continue"/>
            <w:shd w:val="clear" w:color="auto" w:fill="auto"/>
            <w:vAlign w:val="center"/>
          </w:tcPr>
          <w:p w14:paraId="2B612FE8">
            <w:pPr>
              <w:widowControl/>
              <w:jc w:val="left"/>
              <w:rPr>
                <w:rFonts w:ascii="仿宋" w:hAnsi="仿宋" w:eastAsia="仿宋" w:cs="宋体"/>
                <w:color w:val="000000"/>
                <w:kern w:val="0"/>
                <w:sz w:val="18"/>
                <w:szCs w:val="18"/>
              </w:rPr>
            </w:pPr>
          </w:p>
        </w:tc>
      </w:tr>
      <w:tr w14:paraId="4EE010EF">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06" w:hRule="atLeast"/>
        </w:trPr>
        <w:tc>
          <w:tcPr>
            <w:tcW w:w="1060" w:type="dxa"/>
            <w:vMerge w:val="continue"/>
            <w:shd w:val="clear" w:color="auto" w:fill="auto"/>
            <w:vAlign w:val="center"/>
          </w:tcPr>
          <w:p w14:paraId="6E80B6BF">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0BE1B950">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7402A1D2">
            <w:pPr>
              <w:widowControl/>
              <w:jc w:val="left"/>
              <w:rPr>
                <w:rFonts w:ascii="仿宋" w:hAnsi="仿宋" w:eastAsia="仿宋" w:cs="宋体"/>
                <w:color w:val="000000"/>
                <w:kern w:val="0"/>
                <w:sz w:val="18"/>
                <w:szCs w:val="18"/>
              </w:rPr>
            </w:pPr>
          </w:p>
        </w:tc>
        <w:tc>
          <w:tcPr>
            <w:tcW w:w="3680" w:type="dxa"/>
            <w:shd w:val="clear" w:color="auto" w:fill="auto"/>
            <w:vAlign w:val="center"/>
          </w:tcPr>
          <w:p w14:paraId="76ED71E4">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②  平台资金带动系数未达到3%，按</w:t>
            </w:r>
            <w:r>
              <w:rPr>
                <w:rFonts w:hint="eastAsia" w:ascii="仿宋" w:hAnsi="仿宋" w:eastAsia="仿宋" w:cs="宋体"/>
                <w:kern w:val="0"/>
                <w:sz w:val="18"/>
                <w:szCs w:val="18"/>
              </w:rPr>
              <w:t>实际系数与3%的比值，乘以6分计分。</w:t>
            </w:r>
          </w:p>
        </w:tc>
        <w:tc>
          <w:tcPr>
            <w:tcW w:w="1060" w:type="dxa"/>
            <w:vMerge w:val="continue"/>
            <w:shd w:val="clear" w:color="auto" w:fill="auto"/>
            <w:vAlign w:val="center"/>
          </w:tcPr>
          <w:p w14:paraId="0091FF02">
            <w:pPr>
              <w:widowControl/>
              <w:jc w:val="left"/>
              <w:rPr>
                <w:rFonts w:ascii="仿宋" w:hAnsi="仿宋" w:eastAsia="仿宋" w:cs="宋体"/>
                <w:color w:val="000000"/>
                <w:kern w:val="0"/>
                <w:sz w:val="18"/>
                <w:szCs w:val="18"/>
              </w:rPr>
            </w:pPr>
          </w:p>
        </w:tc>
      </w:tr>
      <w:tr w14:paraId="436C25C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vMerge w:val="continue"/>
            <w:shd w:val="clear" w:color="auto" w:fill="auto"/>
            <w:vAlign w:val="center"/>
          </w:tcPr>
          <w:p w14:paraId="1041BF4A">
            <w:pPr>
              <w:widowControl/>
              <w:jc w:val="left"/>
              <w:rPr>
                <w:rFonts w:ascii="仿宋" w:hAnsi="仿宋" w:eastAsia="仿宋" w:cs="宋体"/>
                <w:color w:val="000000"/>
                <w:kern w:val="0"/>
                <w:sz w:val="18"/>
                <w:szCs w:val="18"/>
              </w:rPr>
            </w:pPr>
          </w:p>
        </w:tc>
        <w:tc>
          <w:tcPr>
            <w:tcW w:w="1060" w:type="dxa"/>
            <w:vMerge w:val="restart"/>
            <w:shd w:val="clear" w:color="auto" w:fill="auto"/>
            <w:vAlign w:val="center"/>
          </w:tcPr>
          <w:p w14:paraId="0FB1EB83">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实施效益</w:t>
            </w:r>
            <w:r>
              <w:rPr>
                <w:rFonts w:hint="eastAsia" w:ascii="仿宋" w:hAnsi="仿宋" w:eastAsia="仿宋" w:cs="宋体"/>
                <w:color w:val="000000"/>
                <w:kern w:val="0"/>
                <w:sz w:val="18"/>
                <w:szCs w:val="18"/>
              </w:rPr>
              <w:br w:type="textWrapping"/>
            </w:r>
            <w:r>
              <w:rPr>
                <w:rFonts w:hint="eastAsia" w:ascii="仿宋" w:hAnsi="仿宋" w:eastAsia="仿宋" w:cs="宋体"/>
                <w:color w:val="000000"/>
                <w:kern w:val="0"/>
                <w:sz w:val="18"/>
                <w:szCs w:val="18"/>
              </w:rPr>
              <w:t>（12分）</w:t>
            </w:r>
          </w:p>
        </w:tc>
        <w:tc>
          <w:tcPr>
            <w:tcW w:w="2480" w:type="dxa"/>
            <w:vMerge w:val="restart"/>
            <w:shd w:val="clear" w:color="auto" w:fill="auto"/>
            <w:vAlign w:val="center"/>
          </w:tcPr>
          <w:p w14:paraId="6093BF8D">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可持续影响（8分）</w:t>
            </w:r>
          </w:p>
        </w:tc>
        <w:tc>
          <w:tcPr>
            <w:tcW w:w="3680" w:type="dxa"/>
            <w:shd w:val="clear" w:color="auto" w:fill="auto"/>
            <w:vAlign w:val="center"/>
          </w:tcPr>
          <w:p w14:paraId="406BF520">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①  建立天河机场货运物流长期规划，计2分；</w:t>
            </w:r>
          </w:p>
        </w:tc>
        <w:tc>
          <w:tcPr>
            <w:tcW w:w="1060" w:type="dxa"/>
            <w:vMerge w:val="restart"/>
            <w:shd w:val="clear" w:color="auto" w:fill="auto"/>
            <w:noWrap/>
            <w:vAlign w:val="center"/>
          </w:tcPr>
          <w:p w14:paraId="612142A4">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8</w:t>
            </w:r>
          </w:p>
        </w:tc>
      </w:tr>
      <w:tr w14:paraId="2D35836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30FBABD0">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3FF21E7D">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0782386F">
            <w:pPr>
              <w:widowControl/>
              <w:jc w:val="left"/>
              <w:rPr>
                <w:rFonts w:ascii="仿宋" w:hAnsi="仿宋" w:eastAsia="仿宋" w:cs="宋体"/>
                <w:color w:val="000000"/>
                <w:kern w:val="0"/>
                <w:sz w:val="18"/>
                <w:szCs w:val="18"/>
              </w:rPr>
            </w:pPr>
          </w:p>
        </w:tc>
        <w:tc>
          <w:tcPr>
            <w:tcW w:w="3680" w:type="dxa"/>
            <w:shd w:val="clear" w:color="auto" w:fill="auto"/>
            <w:vAlign w:val="center"/>
          </w:tcPr>
          <w:p w14:paraId="02A208E0">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②  推动“武汉天河机场旅客班车公交化”项目实施，计2分。</w:t>
            </w:r>
          </w:p>
        </w:tc>
        <w:tc>
          <w:tcPr>
            <w:tcW w:w="1060" w:type="dxa"/>
            <w:vMerge w:val="continue"/>
            <w:shd w:val="clear" w:color="auto" w:fill="auto"/>
            <w:vAlign w:val="center"/>
          </w:tcPr>
          <w:p w14:paraId="6678E3D7">
            <w:pPr>
              <w:widowControl/>
              <w:jc w:val="left"/>
              <w:rPr>
                <w:rFonts w:ascii="仿宋" w:hAnsi="仿宋" w:eastAsia="仿宋" w:cs="宋体"/>
                <w:color w:val="000000"/>
                <w:kern w:val="0"/>
                <w:sz w:val="18"/>
                <w:szCs w:val="18"/>
              </w:rPr>
            </w:pPr>
          </w:p>
        </w:tc>
      </w:tr>
      <w:tr w14:paraId="71A6CF65">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vMerge w:val="continue"/>
            <w:shd w:val="clear" w:color="auto" w:fill="auto"/>
            <w:vAlign w:val="center"/>
          </w:tcPr>
          <w:p w14:paraId="4DAAF297">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31BBB894">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70A80F72">
            <w:pPr>
              <w:widowControl/>
              <w:jc w:val="left"/>
              <w:rPr>
                <w:rFonts w:ascii="仿宋" w:hAnsi="仿宋" w:eastAsia="仿宋" w:cs="宋体"/>
                <w:color w:val="000000"/>
                <w:kern w:val="0"/>
                <w:sz w:val="18"/>
                <w:szCs w:val="18"/>
              </w:rPr>
            </w:pPr>
          </w:p>
        </w:tc>
        <w:tc>
          <w:tcPr>
            <w:tcW w:w="3680" w:type="dxa"/>
            <w:shd w:val="clear" w:color="auto" w:fill="auto"/>
            <w:vAlign w:val="center"/>
          </w:tcPr>
          <w:p w14:paraId="29A848F9">
            <w:pPr>
              <w:widowControl/>
              <w:jc w:val="left"/>
              <w:rPr>
                <w:rFonts w:ascii="仿宋" w:hAnsi="仿宋" w:eastAsia="仿宋" w:cs="宋体"/>
                <w:kern w:val="0"/>
                <w:sz w:val="18"/>
                <w:szCs w:val="18"/>
              </w:rPr>
            </w:pPr>
            <w:r>
              <w:rPr>
                <w:rFonts w:hint="eastAsia" w:ascii="仿宋" w:hAnsi="仿宋" w:eastAsia="仿宋" w:cs="宋体"/>
                <w:kern w:val="0"/>
                <w:sz w:val="18"/>
                <w:szCs w:val="18"/>
              </w:rPr>
              <w:t>③  实施新《管理办法》，计2分；</w:t>
            </w:r>
          </w:p>
        </w:tc>
        <w:tc>
          <w:tcPr>
            <w:tcW w:w="1060" w:type="dxa"/>
            <w:vMerge w:val="continue"/>
            <w:shd w:val="clear" w:color="auto" w:fill="auto"/>
            <w:vAlign w:val="center"/>
          </w:tcPr>
          <w:p w14:paraId="24E84824">
            <w:pPr>
              <w:widowControl/>
              <w:jc w:val="left"/>
              <w:rPr>
                <w:rFonts w:ascii="仿宋" w:hAnsi="仿宋" w:eastAsia="仿宋" w:cs="宋体"/>
                <w:color w:val="000000"/>
                <w:kern w:val="0"/>
                <w:sz w:val="18"/>
                <w:szCs w:val="18"/>
              </w:rPr>
            </w:pPr>
          </w:p>
        </w:tc>
      </w:tr>
      <w:tr w14:paraId="143ABFE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18F75358">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3144CC6F">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266165DF">
            <w:pPr>
              <w:widowControl/>
              <w:jc w:val="left"/>
              <w:rPr>
                <w:rFonts w:ascii="仿宋" w:hAnsi="仿宋" w:eastAsia="仿宋" w:cs="宋体"/>
                <w:color w:val="000000"/>
                <w:kern w:val="0"/>
                <w:sz w:val="18"/>
                <w:szCs w:val="18"/>
              </w:rPr>
            </w:pPr>
          </w:p>
        </w:tc>
        <w:tc>
          <w:tcPr>
            <w:tcW w:w="3680" w:type="dxa"/>
            <w:shd w:val="clear" w:color="auto" w:fill="auto"/>
            <w:vAlign w:val="center"/>
          </w:tcPr>
          <w:p w14:paraId="796F1936">
            <w:pPr>
              <w:widowControl/>
              <w:jc w:val="left"/>
              <w:rPr>
                <w:rFonts w:ascii="仿宋" w:hAnsi="仿宋" w:eastAsia="仿宋" w:cs="宋体"/>
                <w:kern w:val="0"/>
                <w:sz w:val="18"/>
                <w:szCs w:val="18"/>
              </w:rPr>
            </w:pPr>
            <w:r>
              <w:rPr>
                <w:rFonts w:hint="eastAsia" w:ascii="仿宋" w:hAnsi="仿宋" w:eastAsia="仿宋" w:cs="宋体"/>
                <w:kern w:val="0"/>
                <w:sz w:val="18"/>
                <w:szCs w:val="18"/>
              </w:rPr>
              <w:t>④  组织考核平台企业绩效目标完成情况，计2分。</w:t>
            </w:r>
          </w:p>
        </w:tc>
        <w:tc>
          <w:tcPr>
            <w:tcW w:w="1060" w:type="dxa"/>
            <w:vMerge w:val="continue"/>
            <w:shd w:val="clear" w:color="auto" w:fill="auto"/>
            <w:vAlign w:val="center"/>
          </w:tcPr>
          <w:p w14:paraId="3ACE5194">
            <w:pPr>
              <w:widowControl/>
              <w:jc w:val="left"/>
              <w:rPr>
                <w:rFonts w:ascii="仿宋" w:hAnsi="仿宋" w:eastAsia="仿宋" w:cs="宋体"/>
                <w:color w:val="000000"/>
                <w:kern w:val="0"/>
                <w:sz w:val="18"/>
                <w:szCs w:val="18"/>
              </w:rPr>
            </w:pPr>
          </w:p>
        </w:tc>
      </w:tr>
      <w:tr w14:paraId="39E2A903">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44993C1A">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104A4E61">
            <w:pPr>
              <w:widowControl/>
              <w:jc w:val="left"/>
              <w:rPr>
                <w:rFonts w:ascii="仿宋" w:hAnsi="仿宋" w:eastAsia="仿宋" w:cs="宋体"/>
                <w:color w:val="000000"/>
                <w:kern w:val="0"/>
                <w:sz w:val="18"/>
                <w:szCs w:val="18"/>
              </w:rPr>
            </w:pPr>
          </w:p>
        </w:tc>
        <w:tc>
          <w:tcPr>
            <w:tcW w:w="2480" w:type="dxa"/>
            <w:vMerge w:val="restart"/>
            <w:shd w:val="clear" w:color="auto" w:fill="auto"/>
            <w:vAlign w:val="center"/>
          </w:tcPr>
          <w:p w14:paraId="519AEFA1">
            <w:pPr>
              <w:widowControl/>
              <w:jc w:val="left"/>
              <w:rPr>
                <w:rFonts w:ascii="仿宋" w:hAnsi="仿宋" w:eastAsia="仿宋" w:cs="宋体"/>
                <w:color w:val="000000"/>
                <w:kern w:val="0"/>
                <w:sz w:val="18"/>
                <w:szCs w:val="18"/>
              </w:rPr>
            </w:pPr>
            <w:r>
              <w:rPr>
                <w:rFonts w:hint="eastAsia" w:ascii="仿宋" w:hAnsi="仿宋" w:eastAsia="仿宋" w:cs="宋体"/>
                <w:color w:val="000000"/>
                <w:kern w:val="0"/>
                <w:sz w:val="18"/>
                <w:szCs w:val="18"/>
              </w:rPr>
              <w:t>社会公众满意度（4分）</w:t>
            </w:r>
          </w:p>
        </w:tc>
        <w:tc>
          <w:tcPr>
            <w:tcW w:w="3680" w:type="dxa"/>
            <w:shd w:val="clear" w:color="auto" w:fill="auto"/>
            <w:vAlign w:val="center"/>
          </w:tcPr>
          <w:p w14:paraId="3C251B01">
            <w:pPr>
              <w:widowControl/>
              <w:jc w:val="left"/>
              <w:rPr>
                <w:rFonts w:ascii="仿宋" w:hAnsi="仿宋" w:eastAsia="仿宋" w:cs="宋体"/>
                <w:kern w:val="0"/>
                <w:sz w:val="18"/>
                <w:szCs w:val="18"/>
              </w:rPr>
            </w:pPr>
            <w:r>
              <w:rPr>
                <w:rFonts w:hint="eastAsia" w:ascii="仿宋" w:hAnsi="仿宋" w:eastAsia="仿宋" w:cs="宋体"/>
                <w:kern w:val="0"/>
                <w:sz w:val="18"/>
                <w:szCs w:val="18"/>
              </w:rPr>
              <w:t xml:space="preserve">①  </w:t>
            </w:r>
            <w:r>
              <w:rPr>
                <w:rFonts w:hint="eastAsia" w:ascii="仿宋" w:hAnsi="仿宋" w:eastAsia="仿宋" w:cs="宋体"/>
                <w:color w:val="000000"/>
                <w:kern w:val="0"/>
                <w:sz w:val="18"/>
                <w:szCs w:val="18"/>
              </w:rPr>
              <w:t>ACI旅客满意度测评全年平均得分达到4.7分，计4分；</w:t>
            </w:r>
          </w:p>
        </w:tc>
        <w:tc>
          <w:tcPr>
            <w:tcW w:w="1060" w:type="dxa"/>
            <w:vMerge w:val="restart"/>
            <w:shd w:val="clear" w:color="auto" w:fill="auto"/>
            <w:noWrap/>
            <w:vAlign w:val="center"/>
          </w:tcPr>
          <w:p w14:paraId="35269058">
            <w:pPr>
              <w:widowControl/>
              <w:jc w:val="center"/>
              <w:rPr>
                <w:rFonts w:ascii="仿宋" w:hAnsi="仿宋" w:eastAsia="仿宋" w:cs="宋体"/>
                <w:kern w:val="0"/>
                <w:sz w:val="18"/>
                <w:szCs w:val="18"/>
              </w:rPr>
            </w:pPr>
            <w:r>
              <w:rPr>
                <w:rFonts w:hint="eastAsia" w:ascii="仿宋" w:hAnsi="仿宋" w:eastAsia="仿宋" w:cs="宋体"/>
                <w:kern w:val="0"/>
                <w:sz w:val="18"/>
                <w:szCs w:val="18"/>
              </w:rPr>
              <w:t>4</w:t>
            </w:r>
          </w:p>
        </w:tc>
      </w:tr>
      <w:tr w14:paraId="2054D2D9">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40" w:hRule="atLeast"/>
        </w:trPr>
        <w:tc>
          <w:tcPr>
            <w:tcW w:w="1060" w:type="dxa"/>
            <w:vMerge w:val="continue"/>
            <w:shd w:val="clear" w:color="auto" w:fill="auto"/>
            <w:vAlign w:val="center"/>
          </w:tcPr>
          <w:p w14:paraId="58EDAFA2">
            <w:pPr>
              <w:widowControl/>
              <w:jc w:val="left"/>
              <w:rPr>
                <w:rFonts w:ascii="仿宋" w:hAnsi="仿宋" w:eastAsia="仿宋" w:cs="宋体"/>
                <w:color w:val="000000"/>
                <w:kern w:val="0"/>
                <w:sz w:val="18"/>
                <w:szCs w:val="18"/>
              </w:rPr>
            </w:pPr>
          </w:p>
        </w:tc>
        <w:tc>
          <w:tcPr>
            <w:tcW w:w="1060" w:type="dxa"/>
            <w:vMerge w:val="continue"/>
            <w:shd w:val="clear" w:color="auto" w:fill="auto"/>
            <w:vAlign w:val="center"/>
          </w:tcPr>
          <w:p w14:paraId="0490AF89">
            <w:pPr>
              <w:widowControl/>
              <w:jc w:val="left"/>
              <w:rPr>
                <w:rFonts w:ascii="仿宋" w:hAnsi="仿宋" w:eastAsia="仿宋" w:cs="宋体"/>
                <w:color w:val="000000"/>
                <w:kern w:val="0"/>
                <w:sz w:val="18"/>
                <w:szCs w:val="18"/>
              </w:rPr>
            </w:pPr>
          </w:p>
        </w:tc>
        <w:tc>
          <w:tcPr>
            <w:tcW w:w="2480" w:type="dxa"/>
            <w:vMerge w:val="continue"/>
            <w:shd w:val="clear" w:color="auto" w:fill="auto"/>
            <w:vAlign w:val="center"/>
          </w:tcPr>
          <w:p w14:paraId="3EA79C2F">
            <w:pPr>
              <w:widowControl/>
              <w:jc w:val="left"/>
              <w:rPr>
                <w:rFonts w:ascii="仿宋" w:hAnsi="仿宋" w:eastAsia="仿宋" w:cs="宋体"/>
                <w:color w:val="000000"/>
                <w:kern w:val="0"/>
                <w:sz w:val="18"/>
                <w:szCs w:val="18"/>
              </w:rPr>
            </w:pPr>
          </w:p>
        </w:tc>
        <w:tc>
          <w:tcPr>
            <w:tcW w:w="3680" w:type="dxa"/>
            <w:shd w:val="clear" w:color="auto" w:fill="auto"/>
            <w:vAlign w:val="center"/>
          </w:tcPr>
          <w:p w14:paraId="79E04294">
            <w:pPr>
              <w:widowControl/>
              <w:jc w:val="left"/>
              <w:rPr>
                <w:rFonts w:ascii="仿宋" w:hAnsi="仿宋" w:eastAsia="仿宋" w:cs="宋体"/>
                <w:kern w:val="0"/>
                <w:sz w:val="18"/>
                <w:szCs w:val="18"/>
              </w:rPr>
            </w:pPr>
            <w:r>
              <w:rPr>
                <w:rFonts w:hint="eastAsia" w:ascii="仿宋" w:hAnsi="仿宋" w:eastAsia="仿宋" w:cs="宋体"/>
                <w:kern w:val="0"/>
                <w:sz w:val="18"/>
                <w:szCs w:val="18"/>
              </w:rPr>
              <w:t xml:space="preserve">②  </w:t>
            </w:r>
            <w:r>
              <w:rPr>
                <w:rFonts w:hint="eastAsia" w:ascii="仿宋" w:hAnsi="仿宋" w:eastAsia="仿宋" w:cs="宋体"/>
                <w:color w:val="000000"/>
                <w:kern w:val="0"/>
                <w:sz w:val="18"/>
                <w:szCs w:val="18"/>
              </w:rPr>
              <w:t>未达到4.7分，按</w:t>
            </w:r>
            <w:r>
              <w:rPr>
                <w:rFonts w:hint="eastAsia" w:ascii="仿宋" w:hAnsi="仿宋" w:eastAsia="仿宋" w:cs="宋体"/>
                <w:kern w:val="0"/>
                <w:sz w:val="18"/>
                <w:szCs w:val="18"/>
              </w:rPr>
              <w:t>实际得分与4.7分的比值，乘以4分计分。</w:t>
            </w:r>
          </w:p>
        </w:tc>
        <w:tc>
          <w:tcPr>
            <w:tcW w:w="1060" w:type="dxa"/>
            <w:vMerge w:val="continue"/>
            <w:shd w:val="clear" w:color="auto" w:fill="auto"/>
            <w:vAlign w:val="center"/>
          </w:tcPr>
          <w:p w14:paraId="23219024">
            <w:pPr>
              <w:widowControl/>
              <w:jc w:val="left"/>
              <w:rPr>
                <w:rFonts w:ascii="仿宋" w:hAnsi="仿宋" w:eastAsia="仿宋" w:cs="宋体"/>
                <w:kern w:val="0"/>
                <w:sz w:val="18"/>
                <w:szCs w:val="18"/>
              </w:rPr>
            </w:pPr>
          </w:p>
        </w:tc>
      </w:tr>
      <w:tr w14:paraId="200B86B1">
        <w:tblPrEx>
          <w:tblBorders>
            <w:top w:val="double" w:color="auto" w:sz="4" w:space="0"/>
            <w:left w:val="none" w:color="auto" w:sz="0" w:space="0"/>
            <w:bottom w:val="double" w:color="auto" w:sz="4"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60" w:type="dxa"/>
            <w:shd w:val="clear" w:color="auto" w:fill="auto"/>
            <w:noWrap/>
            <w:vAlign w:val="center"/>
          </w:tcPr>
          <w:p w14:paraId="7D27E6E9">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总分</w:t>
            </w:r>
          </w:p>
        </w:tc>
        <w:tc>
          <w:tcPr>
            <w:tcW w:w="1060" w:type="dxa"/>
            <w:shd w:val="clear" w:color="auto" w:fill="auto"/>
            <w:noWrap/>
            <w:vAlign w:val="center"/>
          </w:tcPr>
          <w:p w14:paraId="64FFD9D1">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100</w:t>
            </w:r>
          </w:p>
        </w:tc>
        <w:tc>
          <w:tcPr>
            <w:tcW w:w="2480" w:type="dxa"/>
            <w:shd w:val="clear" w:color="auto" w:fill="auto"/>
            <w:noWrap/>
            <w:vAlign w:val="center"/>
          </w:tcPr>
          <w:p w14:paraId="56A3DAC1">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100</w:t>
            </w:r>
          </w:p>
        </w:tc>
        <w:tc>
          <w:tcPr>
            <w:tcW w:w="3680" w:type="dxa"/>
            <w:shd w:val="clear" w:color="auto" w:fill="auto"/>
            <w:vAlign w:val="center"/>
          </w:tcPr>
          <w:p w14:paraId="26BFC992">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w:t>
            </w:r>
          </w:p>
        </w:tc>
        <w:tc>
          <w:tcPr>
            <w:tcW w:w="1060" w:type="dxa"/>
            <w:shd w:val="clear" w:color="auto" w:fill="auto"/>
            <w:noWrap/>
            <w:vAlign w:val="center"/>
          </w:tcPr>
          <w:p w14:paraId="7EA09441">
            <w:pPr>
              <w:widowControl/>
              <w:jc w:val="center"/>
              <w:rPr>
                <w:rFonts w:ascii="仿宋" w:hAnsi="仿宋" w:eastAsia="仿宋" w:cs="宋体"/>
                <w:b/>
                <w:bCs/>
                <w:kern w:val="0"/>
                <w:sz w:val="18"/>
                <w:szCs w:val="18"/>
              </w:rPr>
            </w:pPr>
            <w:r>
              <w:rPr>
                <w:rFonts w:hint="eastAsia" w:ascii="仿宋" w:hAnsi="仿宋" w:eastAsia="仿宋" w:cs="宋体"/>
                <w:b/>
                <w:bCs/>
                <w:kern w:val="0"/>
                <w:sz w:val="18"/>
                <w:szCs w:val="18"/>
              </w:rPr>
              <w:t xml:space="preserve">98.91 </w:t>
            </w:r>
          </w:p>
        </w:tc>
      </w:tr>
    </w:tbl>
    <w:p w14:paraId="0114F594">
      <w:pPr>
        <w:spacing w:line="440" w:lineRule="exact"/>
        <w:ind w:right="42" w:rightChars="20"/>
        <w:rPr>
          <w:rFonts w:ascii="宋体" w:hAnsi="宋体"/>
          <w:sz w:val="24"/>
        </w:rPr>
      </w:pPr>
    </w:p>
    <w:sectPr>
      <w:headerReference r:id="rId3" w:type="default"/>
      <w:footerReference r:id="rId4" w:type="default"/>
      <w:pgSz w:w="11906" w:h="16838"/>
      <w:pgMar w:top="1440" w:right="17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E5D45">
    <w:pPr>
      <w:pStyle w:val="10"/>
      <w:pBdr>
        <w:top w:val="single" w:color="auto" w:sz="4" w:space="1"/>
      </w:pBdr>
      <w:shd w:val="clear" w:color="auto" w:fill="D9D9D9"/>
      <w:rPr>
        <w:rFonts w:ascii="宋体" w:hAnsi="宋体"/>
        <w:i/>
        <w:lang w:eastAsia="zh-CN"/>
      </w:rPr>
    </w:pPr>
    <w:r>
      <w:rPr>
        <w:rFonts w:hint="eastAsia" w:ascii="Garamond" w:hAnsi="Garamond"/>
        <w:i/>
      </w:rPr>
      <w:t xml:space="preserve">TYQCPA                                                                  </w:t>
    </w:r>
    <w:r>
      <w:rPr>
        <w:rFonts w:hint="eastAsia" w:ascii="宋体" w:hAnsi="宋体"/>
        <w:i/>
        <w:kern w:val="0"/>
        <w:szCs w:val="21"/>
      </w:rPr>
      <w:t xml:space="preserve">第 </w:t>
    </w:r>
    <w:r>
      <w:rPr>
        <w:rFonts w:ascii="宋体" w:hAnsi="宋体"/>
        <w:i/>
        <w:kern w:val="0"/>
        <w:szCs w:val="21"/>
      </w:rPr>
      <w:fldChar w:fldCharType="begin"/>
    </w:r>
    <w:r>
      <w:rPr>
        <w:rFonts w:ascii="宋体" w:hAnsi="宋体"/>
        <w:i/>
        <w:kern w:val="0"/>
        <w:szCs w:val="21"/>
      </w:rPr>
      <w:instrText xml:space="preserve"> PAGE </w:instrText>
    </w:r>
    <w:r>
      <w:rPr>
        <w:rFonts w:ascii="宋体" w:hAnsi="宋体"/>
        <w:i/>
        <w:kern w:val="0"/>
        <w:szCs w:val="21"/>
      </w:rPr>
      <w:fldChar w:fldCharType="separate"/>
    </w:r>
    <w:r>
      <w:rPr>
        <w:rFonts w:ascii="宋体" w:hAnsi="宋体"/>
        <w:i/>
        <w:kern w:val="0"/>
        <w:szCs w:val="21"/>
      </w:rPr>
      <w:t>24</w:t>
    </w:r>
    <w:r>
      <w:rPr>
        <w:rFonts w:ascii="宋体" w:hAnsi="宋体"/>
        <w:i/>
        <w:kern w:val="0"/>
        <w:szCs w:val="21"/>
      </w:rPr>
      <w:fldChar w:fldCharType="end"/>
    </w:r>
    <w:r>
      <w:rPr>
        <w:rFonts w:hint="eastAsia" w:ascii="宋体" w:hAnsi="宋体"/>
        <w:i/>
        <w:kern w:val="0"/>
        <w:szCs w:val="21"/>
      </w:rPr>
      <w:t xml:space="preserve"> 页 共 2</w:t>
    </w:r>
    <w:r>
      <w:rPr>
        <w:rFonts w:hint="eastAsia" w:ascii="宋体" w:hAnsi="宋体"/>
        <w:i/>
        <w:kern w:val="0"/>
        <w:szCs w:val="21"/>
        <w:lang w:eastAsia="zh-CN"/>
      </w:rPr>
      <w:t>4</w:t>
    </w:r>
    <w:r>
      <w:rPr>
        <w:rFonts w:hint="eastAsia" w:ascii="宋体" w:hAnsi="宋体"/>
        <w:i/>
        <w:kern w:val="0"/>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39E22">
    <w:pPr>
      <w:pStyle w:val="11"/>
      <w:pBdr>
        <w:bottom w:val="single" w:color="auto" w:sz="4" w:space="1"/>
      </w:pBdr>
      <w:shd w:val="clear" w:color="auto" w:fill="D9D9D9"/>
      <w:rPr>
        <w:lang w:eastAsia="zh-CN"/>
      </w:rPr>
    </w:pPr>
    <w:r>
      <w:rPr>
        <w:rFonts w:hint="eastAsia"/>
        <w:i/>
      </w:rPr>
      <w:t xml:space="preserve">天圆全会计师事务所（特殊普通合伙）湖北分所 </w:t>
    </w:r>
    <w:r>
      <w:rPr>
        <w:rFonts w:hint="eastAsia"/>
        <w:i/>
        <w:lang w:eastAsia="zh-CN"/>
      </w:rPr>
      <w:t>绩效评价</w:t>
    </w:r>
    <w:r>
      <w:rPr>
        <w:rFonts w:hint="eastAsia"/>
        <w:i/>
      </w:rPr>
      <w:t>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F76"/>
    <w:rsid w:val="00002B19"/>
    <w:rsid w:val="00005089"/>
    <w:rsid w:val="000158EB"/>
    <w:rsid w:val="00015D1E"/>
    <w:rsid w:val="00022609"/>
    <w:rsid w:val="00025BB0"/>
    <w:rsid w:val="0003662C"/>
    <w:rsid w:val="0003795B"/>
    <w:rsid w:val="00042B04"/>
    <w:rsid w:val="000437D3"/>
    <w:rsid w:val="00043B58"/>
    <w:rsid w:val="000456E3"/>
    <w:rsid w:val="00045E15"/>
    <w:rsid w:val="00050811"/>
    <w:rsid w:val="00061576"/>
    <w:rsid w:val="0006213A"/>
    <w:rsid w:val="0006349C"/>
    <w:rsid w:val="00064525"/>
    <w:rsid w:val="00067928"/>
    <w:rsid w:val="00070421"/>
    <w:rsid w:val="00072EE5"/>
    <w:rsid w:val="000745D1"/>
    <w:rsid w:val="00074C89"/>
    <w:rsid w:val="00087F3C"/>
    <w:rsid w:val="00090EB4"/>
    <w:rsid w:val="00091599"/>
    <w:rsid w:val="000A4A68"/>
    <w:rsid w:val="000B0728"/>
    <w:rsid w:val="000B2A91"/>
    <w:rsid w:val="000C52B0"/>
    <w:rsid w:val="000C5A17"/>
    <w:rsid w:val="000C6DBA"/>
    <w:rsid w:val="000C70DD"/>
    <w:rsid w:val="000C7C96"/>
    <w:rsid w:val="000E457E"/>
    <w:rsid w:val="000E75E1"/>
    <w:rsid w:val="000F4051"/>
    <w:rsid w:val="00100C34"/>
    <w:rsid w:val="0010333C"/>
    <w:rsid w:val="00105663"/>
    <w:rsid w:val="001059A6"/>
    <w:rsid w:val="00106520"/>
    <w:rsid w:val="00111BF3"/>
    <w:rsid w:val="00112C88"/>
    <w:rsid w:val="0011408C"/>
    <w:rsid w:val="001145FE"/>
    <w:rsid w:val="00117C23"/>
    <w:rsid w:val="00124B11"/>
    <w:rsid w:val="00124ED0"/>
    <w:rsid w:val="00127295"/>
    <w:rsid w:val="00132771"/>
    <w:rsid w:val="00135375"/>
    <w:rsid w:val="00135865"/>
    <w:rsid w:val="001477AC"/>
    <w:rsid w:val="00152691"/>
    <w:rsid w:val="00153203"/>
    <w:rsid w:val="00155B92"/>
    <w:rsid w:val="0015668E"/>
    <w:rsid w:val="00166AD1"/>
    <w:rsid w:val="00170DE2"/>
    <w:rsid w:val="00171396"/>
    <w:rsid w:val="00172DF6"/>
    <w:rsid w:val="00173E87"/>
    <w:rsid w:val="00184190"/>
    <w:rsid w:val="0018668D"/>
    <w:rsid w:val="00186779"/>
    <w:rsid w:val="00186801"/>
    <w:rsid w:val="0018764D"/>
    <w:rsid w:val="00191B0C"/>
    <w:rsid w:val="00195296"/>
    <w:rsid w:val="001A11A7"/>
    <w:rsid w:val="001A2721"/>
    <w:rsid w:val="001A3EAF"/>
    <w:rsid w:val="001A5387"/>
    <w:rsid w:val="001A79CC"/>
    <w:rsid w:val="001B17B4"/>
    <w:rsid w:val="001B1C7E"/>
    <w:rsid w:val="001B2948"/>
    <w:rsid w:val="001B2C2F"/>
    <w:rsid w:val="001B4065"/>
    <w:rsid w:val="001B59D5"/>
    <w:rsid w:val="001B5B80"/>
    <w:rsid w:val="001B5BF8"/>
    <w:rsid w:val="001C44ED"/>
    <w:rsid w:val="001C54F4"/>
    <w:rsid w:val="001E069B"/>
    <w:rsid w:val="001E1C1C"/>
    <w:rsid w:val="001E1F0A"/>
    <w:rsid w:val="001E512B"/>
    <w:rsid w:val="001E6E58"/>
    <w:rsid w:val="001E7291"/>
    <w:rsid w:val="001F2404"/>
    <w:rsid w:val="001F2F40"/>
    <w:rsid w:val="001F30D2"/>
    <w:rsid w:val="001F58A3"/>
    <w:rsid w:val="00202FB8"/>
    <w:rsid w:val="002035F2"/>
    <w:rsid w:val="00206989"/>
    <w:rsid w:val="00211D87"/>
    <w:rsid w:val="002131F6"/>
    <w:rsid w:val="00221FA3"/>
    <w:rsid w:val="00223729"/>
    <w:rsid w:val="00224808"/>
    <w:rsid w:val="00224BC5"/>
    <w:rsid w:val="00225494"/>
    <w:rsid w:val="002318AB"/>
    <w:rsid w:val="002324A0"/>
    <w:rsid w:val="002327D5"/>
    <w:rsid w:val="002347AE"/>
    <w:rsid w:val="002369C7"/>
    <w:rsid w:val="00237F1F"/>
    <w:rsid w:val="0024323C"/>
    <w:rsid w:val="002455D1"/>
    <w:rsid w:val="00250772"/>
    <w:rsid w:val="002554CD"/>
    <w:rsid w:val="00257745"/>
    <w:rsid w:val="00257C7F"/>
    <w:rsid w:val="0027289B"/>
    <w:rsid w:val="002746FC"/>
    <w:rsid w:val="00275DDA"/>
    <w:rsid w:val="002760FB"/>
    <w:rsid w:val="002815DC"/>
    <w:rsid w:val="002848D2"/>
    <w:rsid w:val="002858A7"/>
    <w:rsid w:val="00287A71"/>
    <w:rsid w:val="002946A7"/>
    <w:rsid w:val="00294811"/>
    <w:rsid w:val="002A07EB"/>
    <w:rsid w:val="002A1771"/>
    <w:rsid w:val="002A3D70"/>
    <w:rsid w:val="002A6954"/>
    <w:rsid w:val="002B50AC"/>
    <w:rsid w:val="002C19F3"/>
    <w:rsid w:val="002C50E7"/>
    <w:rsid w:val="002C653F"/>
    <w:rsid w:val="002D30F8"/>
    <w:rsid w:val="002D3853"/>
    <w:rsid w:val="002E24DD"/>
    <w:rsid w:val="002F0E57"/>
    <w:rsid w:val="002F2292"/>
    <w:rsid w:val="00304228"/>
    <w:rsid w:val="0030653E"/>
    <w:rsid w:val="00307735"/>
    <w:rsid w:val="0030799F"/>
    <w:rsid w:val="00307FD6"/>
    <w:rsid w:val="00310B7D"/>
    <w:rsid w:val="0031276D"/>
    <w:rsid w:val="003159E4"/>
    <w:rsid w:val="00316610"/>
    <w:rsid w:val="00321693"/>
    <w:rsid w:val="003222CA"/>
    <w:rsid w:val="00327615"/>
    <w:rsid w:val="00337470"/>
    <w:rsid w:val="003430F0"/>
    <w:rsid w:val="0036038E"/>
    <w:rsid w:val="00360601"/>
    <w:rsid w:val="00360B3F"/>
    <w:rsid w:val="0036359F"/>
    <w:rsid w:val="00364723"/>
    <w:rsid w:val="00367083"/>
    <w:rsid w:val="003671B4"/>
    <w:rsid w:val="00370546"/>
    <w:rsid w:val="003779F2"/>
    <w:rsid w:val="0038064B"/>
    <w:rsid w:val="003814A2"/>
    <w:rsid w:val="00381742"/>
    <w:rsid w:val="003827A5"/>
    <w:rsid w:val="00384665"/>
    <w:rsid w:val="00384B5D"/>
    <w:rsid w:val="00384FB2"/>
    <w:rsid w:val="0038504F"/>
    <w:rsid w:val="00385A92"/>
    <w:rsid w:val="00386385"/>
    <w:rsid w:val="003919D2"/>
    <w:rsid w:val="00395BC7"/>
    <w:rsid w:val="003A2BE6"/>
    <w:rsid w:val="003B2612"/>
    <w:rsid w:val="003B3A71"/>
    <w:rsid w:val="003B4B0E"/>
    <w:rsid w:val="003B66D7"/>
    <w:rsid w:val="003C4B56"/>
    <w:rsid w:val="003C6DFE"/>
    <w:rsid w:val="003C724D"/>
    <w:rsid w:val="003D18A7"/>
    <w:rsid w:val="003D2EC8"/>
    <w:rsid w:val="003D4904"/>
    <w:rsid w:val="003E331B"/>
    <w:rsid w:val="003E3B26"/>
    <w:rsid w:val="003E3FFA"/>
    <w:rsid w:val="003E5B79"/>
    <w:rsid w:val="003F0488"/>
    <w:rsid w:val="003F222A"/>
    <w:rsid w:val="003F24B0"/>
    <w:rsid w:val="003F3E29"/>
    <w:rsid w:val="00401B03"/>
    <w:rsid w:val="00404FBB"/>
    <w:rsid w:val="00406B9D"/>
    <w:rsid w:val="004118DB"/>
    <w:rsid w:val="00412D3E"/>
    <w:rsid w:val="00415DD0"/>
    <w:rsid w:val="004163EC"/>
    <w:rsid w:val="0041752E"/>
    <w:rsid w:val="004309B4"/>
    <w:rsid w:val="00431960"/>
    <w:rsid w:val="00435FA5"/>
    <w:rsid w:val="004360CF"/>
    <w:rsid w:val="004407E3"/>
    <w:rsid w:val="00451B42"/>
    <w:rsid w:val="00452276"/>
    <w:rsid w:val="0045382E"/>
    <w:rsid w:val="0045467E"/>
    <w:rsid w:val="00456A8A"/>
    <w:rsid w:val="004603D1"/>
    <w:rsid w:val="004608D5"/>
    <w:rsid w:val="00460F2D"/>
    <w:rsid w:val="004614A4"/>
    <w:rsid w:val="00466D9C"/>
    <w:rsid w:val="0047293D"/>
    <w:rsid w:val="00477364"/>
    <w:rsid w:val="00480AC7"/>
    <w:rsid w:val="00482BE1"/>
    <w:rsid w:val="00483190"/>
    <w:rsid w:val="004839B1"/>
    <w:rsid w:val="00490816"/>
    <w:rsid w:val="00490BB2"/>
    <w:rsid w:val="00494EBF"/>
    <w:rsid w:val="004976BC"/>
    <w:rsid w:val="004A6237"/>
    <w:rsid w:val="004B1AEE"/>
    <w:rsid w:val="004B1BDA"/>
    <w:rsid w:val="004B220C"/>
    <w:rsid w:val="004C1881"/>
    <w:rsid w:val="004C3097"/>
    <w:rsid w:val="004C353B"/>
    <w:rsid w:val="004C7788"/>
    <w:rsid w:val="004D2693"/>
    <w:rsid w:val="004D5719"/>
    <w:rsid w:val="004D63CD"/>
    <w:rsid w:val="004E3C91"/>
    <w:rsid w:val="004E6CA7"/>
    <w:rsid w:val="004E7AD7"/>
    <w:rsid w:val="004F3B7F"/>
    <w:rsid w:val="00502B62"/>
    <w:rsid w:val="00503357"/>
    <w:rsid w:val="005051F7"/>
    <w:rsid w:val="0051376C"/>
    <w:rsid w:val="00514B3F"/>
    <w:rsid w:val="00516040"/>
    <w:rsid w:val="00520267"/>
    <w:rsid w:val="00521620"/>
    <w:rsid w:val="00524E47"/>
    <w:rsid w:val="005276F7"/>
    <w:rsid w:val="0052787E"/>
    <w:rsid w:val="00530644"/>
    <w:rsid w:val="00532562"/>
    <w:rsid w:val="00535460"/>
    <w:rsid w:val="00537842"/>
    <w:rsid w:val="00537906"/>
    <w:rsid w:val="00537CF2"/>
    <w:rsid w:val="00540EA1"/>
    <w:rsid w:val="0054501D"/>
    <w:rsid w:val="00546EE2"/>
    <w:rsid w:val="00550058"/>
    <w:rsid w:val="0055078E"/>
    <w:rsid w:val="005514B1"/>
    <w:rsid w:val="00551FC7"/>
    <w:rsid w:val="0055427D"/>
    <w:rsid w:val="00555842"/>
    <w:rsid w:val="005558B0"/>
    <w:rsid w:val="00555B26"/>
    <w:rsid w:val="005665C1"/>
    <w:rsid w:val="005667B7"/>
    <w:rsid w:val="0057210F"/>
    <w:rsid w:val="005732AA"/>
    <w:rsid w:val="005735BC"/>
    <w:rsid w:val="00574EE8"/>
    <w:rsid w:val="00575741"/>
    <w:rsid w:val="00577604"/>
    <w:rsid w:val="0058109C"/>
    <w:rsid w:val="005904D6"/>
    <w:rsid w:val="00591BD7"/>
    <w:rsid w:val="00596500"/>
    <w:rsid w:val="00597632"/>
    <w:rsid w:val="005A109C"/>
    <w:rsid w:val="005A3991"/>
    <w:rsid w:val="005B33E3"/>
    <w:rsid w:val="005B58D4"/>
    <w:rsid w:val="005B7196"/>
    <w:rsid w:val="005B7DA2"/>
    <w:rsid w:val="005C1E68"/>
    <w:rsid w:val="005C6C22"/>
    <w:rsid w:val="005D250C"/>
    <w:rsid w:val="005D5857"/>
    <w:rsid w:val="005D723C"/>
    <w:rsid w:val="005D746D"/>
    <w:rsid w:val="005D7C6A"/>
    <w:rsid w:val="005E289B"/>
    <w:rsid w:val="005E2C4A"/>
    <w:rsid w:val="005E553F"/>
    <w:rsid w:val="005E61A0"/>
    <w:rsid w:val="005E6472"/>
    <w:rsid w:val="005E7602"/>
    <w:rsid w:val="005F089E"/>
    <w:rsid w:val="00602560"/>
    <w:rsid w:val="0060621F"/>
    <w:rsid w:val="006071EF"/>
    <w:rsid w:val="0060721F"/>
    <w:rsid w:val="00607DF3"/>
    <w:rsid w:val="0061549C"/>
    <w:rsid w:val="00615ADB"/>
    <w:rsid w:val="0062174A"/>
    <w:rsid w:val="00624EE3"/>
    <w:rsid w:val="00626065"/>
    <w:rsid w:val="006275BC"/>
    <w:rsid w:val="00630013"/>
    <w:rsid w:val="00630C3F"/>
    <w:rsid w:val="00631A5F"/>
    <w:rsid w:val="00634450"/>
    <w:rsid w:val="0063660F"/>
    <w:rsid w:val="0064320B"/>
    <w:rsid w:val="0064458F"/>
    <w:rsid w:val="00644BAF"/>
    <w:rsid w:val="00652BBE"/>
    <w:rsid w:val="006530D5"/>
    <w:rsid w:val="006536F3"/>
    <w:rsid w:val="00655910"/>
    <w:rsid w:val="00655DB6"/>
    <w:rsid w:val="006605FE"/>
    <w:rsid w:val="0066105C"/>
    <w:rsid w:val="00664676"/>
    <w:rsid w:val="00665FED"/>
    <w:rsid w:val="00666F76"/>
    <w:rsid w:val="0067149F"/>
    <w:rsid w:val="006760F6"/>
    <w:rsid w:val="00684E23"/>
    <w:rsid w:val="00685105"/>
    <w:rsid w:val="0069430D"/>
    <w:rsid w:val="006967C1"/>
    <w:rsid w:val="00697FE1"/>
    <w:rsid w:val="006A70AB"/>
    <w:rsid w:val="006B1AAF"/>
    <w:rsid w:val="006B3AAF"/>
    <w:rsid w:val="006B4E68"/>
    <w:rsid w:val="006B52CC"/>
    <w:rsid w:val="006B5330"/>
    <w:rsid w:val="006C008A"/>
    <w:rsid w:val="006C18A7"/>
    <w:rsid w:val="006C3C03"/>
    <w:rsid w:val="006C7DBC"/>
    <w:rsid w:val="006D4528"/>
    <w:rsid w:val="006D65A4"/>
    <w:rsid w:val="006D7694"/>
    <w:rsid w:val="006E00BA"/>
    <w:rsid w:val="006E078A"/>
    <w:rsid w:val="006E162D"/>
    <w:rsid w:val="006E5E9E"/>
    <w:rsid w:val="006E6F3C"/>
    <w:rsid w:val="006F15A4"/>
    <w:rsid w:val="006F2E8F"/>
    <w:rsid w:val="006F5509"/>
    <w:rsid w:val="006F7371"/>
    <w:rsid w:val="006F7D18"/>
    <w:rsid w:val="007108F4"/>
    <w:rsid w:val="007116EA"/>
    <w:rsid w:val="00713082"/>
    <w:rsid w:val="0071413F"/>
    <w:rsid w:val="00715278"/>
    <w:rsid w:val="00717C6F"/>
    <w:rsid w:val="00720FAB"/>
    <w:rsid w:val="00722BC2"/>
    <w:rsid w:val="00725715"/>
    <w:rsid w:val="007271EF"/>
    <w:rsid w:val="007337F9"/>
    <w:rsid w:val="00733CF2"/>
    <w:rsid w:val="00737CCC"/>
    <w:rsid w:val="0074035C"/>
    <w:rsid w:val="00742FE8"/>
    <w:rsid w:val="00744F8C"/>
    <w:rsid w:val="007525FD"/>
    <w:rsid w:val="0075312B"/>
    <w:rsid w:val="00753BB9"/>
    <w:rsid w:val="00757D8B"/>
    <w:rsid w:val="00761E96"/>
    <w:rsid w:val="00763B51"/>
    <w:rsid w:val="007640A8"/>
    <w:rsid w:val="007675B3"/>
    <w:rsid w:val="00767DFE"/>
    <w:rsid w:val="0077312F"/>
    <w:rsid w:val="00783B4D"/>
    <w:rsid w:val="007845B1"/>
    <w:rsid w:val="00786C19"/>
    <w:rsid w:val="007911BC"/>
    <w:rsid w:val="007917C6"/>
    <w:rsid w:val="00791E9C"/>
    <w:rsid w:val="007958F7"/>
    <w:rsid w:val="00796BDF"/>
    <w:rsid w:val="007979AF"/>
    <w:rsid w:val="007A0363"/>
    <w:rsid w:val="007A0B77"/>
    <w:rsid w:val="007A2E3A"/>
    <w:rsid w:val="007A3F94"/>
    <w:rsid w:val="007A4391"/>
    <w:rsid w:val="007A67A2"/>
    <w:rsid w:val="007B4A90"/>
    <w:rsid w:val="007B4B68"/>
    <w:rsid w:val="007B665B"/>
    <w:rsid w:val="007C0388"/>
    <w:rsid w:val="007C0B84"/>
    <w:rsid w:val="007C276D"/>
    <w:rsid w:val="007C36F0"/>
    <w:rsid w:val="007C4D70"/>
    <w:rsid w:val="007C52DE"/>
    <w:rsid w:val="007C5611"/>
    <w:rsid w:val="007C6B5F"/>
    <w:rsid w:val="007D0792"/>
    <w:rsid w:val="007D2AB5"/>
    <w:rsid w:val="007D34B2"/>
    <w:rsid w:val="007D4C86"/>
    <w:rsid w:val="007D6311"/>
    <w:rsid w:val="007E37F5"/>
    <w:rsid w:val="007E4E8C"/>
    <w:rsid w:val="007E5657"/>
    <w:rsid w:val="007E57C4"/>
    <w:rsid w:val="007E6BB0"/>
    <w:rsid w:val="007E71E4"/>
    <w:rsid w:val="007E7238"/>
    <w:rsid w:val="007F112D"/>
    <w:rsid w:val="007F254F"/>
    <w:rsid w:val="007F2F35"/>
    <w:rsid w:val="007F357F"/>
    <w:rsid w:val="007F54B4"/>
    <w:rsid w:val="007F7BC9"/>
    <w:rsid w:val="00802C08"/>
    <w:rsid w:val="00807513"/>
    <w:rsid w:val="00812B92"/>
    <w:rsid w:val="00816462"/>
    <w:rsid w:val="00816678"/>
    <w:rsid w:val="008170BF"/>
    <w:rsid w:val="00820B11"/>
    <w:rsid w:val="0082586F"/>
    <w:rsid w:val="0082685F"/>
    <w:rsid w:val="0083237E"/>
    <w:rsid w:val="0083279D"/>
    <w:rsid w:val="008337AA"/>
    <w:rsid w:val="00837293"/>
    <w:rsid w:val="0083751D"/>
    <w:rsid w:val="00837B45"/>
    <w:rsid w:val="00842FA8"/>
    <w:rsid w:val="008461D9"/>
    <w:rsid w:val="00850274"/>
    <w:rsid w:val="0085068B"/>
    <w:rsid w:val="00851DA6"/>
    <w:rsid w:val="00856F79"/>
    <w:rsid w:val="008645E0"/>
    <w:rsid w:val="00866785"/>
    <w:rsid w:val="00870D23"/>
    <w:rsid w:val="00871542"/>
    <w:rsid w:val="008777BD"/>
    <w:rsid w:val="0088049C"/>
    <w:rsid w:val="00880515"/>
    <w:rsid w:val="00881282"/>
    <w:rsid w:val="00883287"/>
    <w:rsid w:val="00887182"/>
    <w:rsid w:val="00891ED1"/>
    <w:rsid w:val="008924C0"/>
    <w:rsid w:val="00893EBD"/>
    <w:rsid w:val="00896A38"/>
    <w:rsid w:val="00897DF6"/>
    <w:rsid w:val="008A181F"/>
    <w:rsid w:val="008A37B9"/>
    <w:rsid w:val="008A3CE2"/>
    <w:rsid w:val="008A4C2D"/>
    <w:rsid w:val="008B0B71"/>
    <w:rsid w:val="008B1A3A"/>
    <w:rsid w:val="008B3E1E"/>
    <w:rsid w:val="008B46E6"/>
    <w:rsid w:val="008B57E9"/>
    <w:rsid w:val="008B59C8"/>
    <w:rsid w:val="008B62A3"/>
    <w:rsid w:val="008B65E2"/>
    <w:rsid w:val="008C2A92"/>
    <w:rsid w:val="008C3798"/>
    <w:rsid w:val="008C6A1E"/>
    <w:rsid w:val="008D168E"/>
    <w:rsid w:val="008D25BD"/>
    <w:rsid w:val="008D328F"/>
    <w:rsid w:val="008D4CB0"/>
    <w:rsid w:val="008D5181"/>
    <w:rsid w:val="008D6802"/>
    <w:rsid w:val="008E2318"/>
    <w:rsid w:val="008E550E"/>
    <w:rsid w:val="008F10F3"/>
    <w:rsid w:val="008F1F23"/>
    <w:rsid w:val="008F7C48"/>
    <w:rsid w:val="00901ED8"/>
    <w:rsid w:val="0090413C"/>
    <w:rsid w:val="00904E69"/>
    <w:rsid w:val="0091226D"/>
    <w:rsid w:val="00912779"/>
    <w:rsid w:val="009148B7"/>
    <w:rsid w:val="00916CAA"/>
    <w:rsid w:val="00917DD1"/>
    <w:rsid w:val="009238C0"/>
    <w:rsid w:val="00925524"/>
    <w:rsid w:val="00930739"/>
    <w:rsid w:val="009307EC"/>
    <w:rsid w:val="00932894"/>
    <w:rsid w:val="00934DE7"/>
    <w:rsid w:val="00944846"/>
    <w:rsid w:val="00946931"/>
    <w:rsid w:val="00946C68"/>
    <w:rsid w:val="00947570"/>
    <w:rsid w:val="00947B1A"/>
    <w:rsid w:val="00951758"/>
    <w:rsid w:val="00954A23"/>
    <w:rsid w:val="009558BE"/>
    <w:rsid w:val="00955DE2"/>
    <w:rsid w:val="00957624"/>
    <w:rsid w:val="00962660"/>
    <w:rsid w:val="00971BBD"/>
    <w:rsid w:val="00975C4E"/>
    <w:rsid w:val="00982B78"/>
    <w:rsid w:val="009838A6"/>
    <w:rsid w:val="009843A6"/>
    <w:rsid w:val="0098572C"/>
    <w:rsid w:val="009926C8"/>
    <w:rsid w:val="009947FC"/>
    <w:rsid w:val="00995E6D"/>
    <w:rsid w:val="009973A2"/>
    <w:rsid w:val="00997AC0"/>
    <w:rsid w:val="009A3298"/>
    <w:rsid w:val="009A360B"/>
    <w:rsid w:val="009A3BDD"/>
    <w:rsid w:val="009A7902"/>
    <w:rsid w:val="009B0DEC"/>
    <w:rsid w:val="009B1137"/>
    <w:rsid w:val="009B778E"/>
    <w:rsid w:val="009C0B11"/>
    <w:rsid w:val="009C43D1"/>
    <w:rsid w:val="009C54D9"/>
    <w:rsid w:val="009C601D"/>
    <w:rsid w:val="009C7465"/>
    <w:rsid w:val="009C781A"/>
    <w:rsid w:val="009D0154"/>
    <w:rsid w:val="009D5371"/>
    <w:rsid w:val="009E2939"/>
    <w:rsid w:val="009E3A73"/>
    <w:rsid w:val="009E4991"/>
    <w:rsid w:val="009E6BB6"/>
    <w:rsid w:val="009E7E5C"/>
    <w:rsid w:val="00A04D67"/>
    <w:rsid w:val="00A06DDA"/>
    <w:rsid w:val="00A077BC"/>
    <w:rsid w:val="00A10B3A"/>
    <w:rsid w:val="00A11706"/>
    <w:rsid w:val="00A1267F"/>
    <w:rsid w:val="00A1778B"/>
    <w:rsid w:val="00A2563F"/>
    <w:rsid w:val="00A35010"/>
    <w:rsid w:val="00A3638E"/>
    <w:rsid w:val="00A372B9"/>
    <w:rsid w:val="00A418FE"/>
    <w:rsid w:val="00A43652"/>
    <w:rsid w:val="00A444A7"/>
    <w:rsid w:val="00A44E3E"/>
    <w:rsid w:val="00A46DF3"/>
    <w:rsid w:val="00A47A90"/>
    <w:rsid w:val="00A47EB4"/>
    <w:rsid w:val="00A50BD3"/>
    <w:rsid w:val="00A50E79"/>
    <w:rsid w:val="00A5392E"/>
    <w:rsid w:val="00A56A80"/>
    <w:rsid w:val="00A57FF7"/>
    <w:rsid w:val="00A656C3"/>
    <w:rsid w:val="00A65F30"/>
    <w:rsid w:val="00A677C1"/>
    <w:rsid w:val="00A72991"/>
    <w:rsid w:val="00A75331"/>
    <w:rsid w:val="00A7720C"/>
    <w:rsid w:val="00A8186C"/>
    <w:rsid w:val="00A87C39"/>
    <w:rsid w:val="00A97147"/>
    <w:rsid w:val="00AA126D"/>
    <w:rsid w:val="00AA3E5E"/>
    <w:rsid w:val="00AA5C6E"/>
    <w:rsid w:val="00AA65D1"/>
    <w:rsid w:val="00AB162F"/>
    <w:rsid w:val="00AB3ECF"/>
    <w:rsid w:val="00AB3F72"/>
    <w:rsid w:val="00AB7D98"/>
    <w:rsid w:val="00AC0ECC"/>
    <w:rsid w:val="00AC3CA0"/>
    <w:rsid w:val="00AD02A7"/>
    <w:rsid w:val="00AE53EC"/>
    <w:rsid w:val="00AE7359"/>
    <w:rsid w:val="00AF0B71"/>
    <w:rsid w:val="00AF14E4"/>
    <w:rsid w:val="00AF365B"/>
    <w:rsid w:val="00AF4C33"/>
    <w:rsid w:val="00B05715"/>
    <w:rsid w:val="00B06D07"/>
    <w:rsid w:val="00B07D2C"/>
    <w:rsid w:val="00B15505"/>
    <w:rsid w:val="00B15BFB"/>
    <w:rsid w:val="00B167B3"/>
    <w:rsid w:val="00B17A44"/>
    <w:rsid w:val="00B20860"/>
    <w:rsid w:val="00B20865"/>
    <w:rsid w:val="00B25182"/>
    <w:rsid w:val="00B26CAB"/>
    <w:rsid w:val="00B307AA"/>
    <w:rsid w:val="00B33F32"/>
    <w:rsid w:val="00B3488A"/>
    <w:rsid w:val="00B40F54"/>
    <w:rsid w:val="00B4276E"/>
    <w:rsid w:val="00B460CB"/>
    <w:rsid w:val="00B51271"/>
    <w:rsid w:val="00B52DFC"/>
    <w:rsid w:val="00B53E06"/>
    <w:rsid w:val="00B57081"/>
    <w:rsid w:val="00B639D3"/>
    <w:rsid w:val="00B65708"/>
    <w:rsid w:val="00B73755"/>
    <w:rsid w:val="00B81E23"/>
    <w:rsid w:val="00B85502"/>
    <w:rsid w:val="00B86C80"/>
    <w:rsid w:val="00B90605"/>
    <w:rsid w:val="00B9575E"/>
    <w:rsid w:val="00BA2287"/>
    <w:rsid w:val="00BA2D2C"/>
    <w:rsid w:val="00BA389F"/>
    <w:rsid w:val="00BA5C16"/>
    <w:rsid w:val="00BB313B"/>
    <w:rsid w:val="00BC62B4"/>
    <w:rsid w:val="00BD618B"/>
    <w:rsid w:val="00BE01C1"/>
    <w:rsid w:val="00C00F03"/>
    <w:rsid w:val="00C04E00"/>
    <w:rsid w:val="00C05735"/>
    <w:rsid w:val="00C06CDB"/>
    <w:rsid w:val="00C0743E"/>
    <w:rsid w:val="00C16016"/>
    <w:rsid w:val="00C166DE"/>
    <w:rsid w:val="00C215F9"/>
    <w:rsid w:val="00C2651E"/>
    <w:rsid w:val="00C3171F"/>
    <w:rsid w:val="00C327F9"/>
    <w:rsid w:val="00C40D74"/>
    <w:rsid w:val="00C437D1"/>
    <w:rsid w:val="00C56022"/>
    <w:rsid w:val="00C56B75"/>
    <w:rsid w:val="00C62B0C"/>
    <w:rsid w:val="00C62F3E"/>
    <w:rsid w:val="00C63CB0"/>
    <w:rsid w:val="00C646C0"/>
    <w:rsid w:val="00C6571F"/>
    <w:rsid w:val="00C65BEB"/>
    <w:rsid w:val="00C6601E"/>
    <w:rsid w:val="00C6662C"/>
    <w:rsid w:val="00C70147"/>
    <w:rsid w:val="00C72B74"/>
    <w:rsid w:val="00C74444"/>
    <w:rsid w:val="00C74BA4"/>
    <w:rsid w:val="00C8377D"/>
    <w:rsid w:val="00C8396C"/>
    <w:rsid w:val="00C84649"/>
    <w:rsid w:val="00C86C59"/>
    <w:rsid w:val="00C9293D"/>
    <w:rsid w:val="00C95DB6"/>
    <w:rsid w:val="00CA4BF2"/>
    <w:rsid w:val="00CA4E56"/>
    <w:rsid w:val="00CB2791"/>
    <w:rsid w:val="00CB6178"/>
    <w:rsid w:val="00CC0E3C"/>
    <w:rsid w:val="00CC17F4"/>
    <w:rsid w:val="00CC355D"/>
    <w:rsid w:val="00CC4E51"/>
    <w:rsid w:val="00CC7F72"/>
    <w:rsid w:val="00CD19C3"/>
    <w:rsid w:val="00CD207A"/>
    <w:rsid w:val="00CD43F1"/>
    <w:rsid w:val="00CD446E"/>
    <w:rsid w:val="00CD7960"/>
    <w:rsid w:val="00CD7AC3"/>
    <w:rsid w:val="00CE15A5"/>
    <w:rsid w:val="00CE2948"/>
    <w:rsid w:val="00CE4552"/>
    <w:rsid w:val="00CE6341"/>
    <w:rsid w:val="00CE63A4"/>
    <w:rsid w:val="00CE66F3"/>
    <w:rsid w:val="00CF146F"/>
    <w:rsid w:val="00D0262A"/>
    <w:rsid w:val="00D065B4"/>
    <w:rsid w:val="00D073B5"/>
    <w:rsid w:val="00D1141C"/>
    <w:rsid w:val="00D12784"/>
    <w:rsid w:val="00D16DF2"/>
    <w:rsid w:val="00D20D30"/>
    <w:rsid w:val="00D21373"/>
    <w:rsid w:val="00D21E52"/>
    <w:rsid w:val="00D2598F"/>
    <w:rsid w:val="00D301AC"/>
    <w:rsid w:val="00D3128E"/>
    <w:rsid w:val="00D361C9"/>
    <w:rsid w:val="00D41809"/>
    <w:rsid w:val="00D43F80"/>
    <w:rsid w:val="00D5125D"/>
    <w:rsid w:val="00D54E6B"/>
    <w:rsid w:val="00D5535E"/>
    <w:rsid w:val="00D56932"/>
    <w:rsid w:val="00D60A4C"/>
    <w:rsid w:val="00D628CC"/>
    <w:rsid w:val="00D72A7A"/>
    <w:rsid w:val="00D72F8F"/>
    <w:rsid w:val="00D75101"/>
    <w:rsid w:val="00D75730"/>
    <w:rsid w:val="00D8057E"/>
    <w:rsid w:val="00D8059F"/>
    <w:rsid w:val="00D811EB"/>
    <w:rsid w:val="00D81329"/>
    <w:rsid w:val="00D940BC"/>
    <w:rsid w:val="00D94974"/>
    <w:rsid w:val="00D97218"/>
    <w:rsid w:val="00D973C8"/>
    <w:rsid w:val="00D97BA1"/>
    <w:rsid w:val="00DA01B1"/>
    <w:rsid w:val="00DA124C"/>
    <w:rsid w:val="00DA3246"/>
    <w:rsid w:val="00DA68AB"/>
    <w:rsid w:val="00DB5C15"/>
    <w:rsid w:val="00DC08C0"/>
    <w:rsid w:val="00DC7AD1"/>
    <w:rsid w:val="00DD35F7"/>
    <w:rsid w:val="00DE3346"/>
    <w:rsid w:val="00DE7027"/>
    <w:rsid w:val="00DE78BE"/>
    <w:rsid w:val="00DF6F9B"/>
    <w:rsid w:val="00E022B0"/>
    <w:rsid w:val="00E032D6"/>
    <w:rsid w:val="00E039CD"/>
    <w:rsid w:val="00E10BBC"/>
    <w:rsid w:val="00E10BFF"/>
    <w:rsid w:val="00E115F0"/>
    <w:rsid w:val="00E15804"/>
    <w:rsid w:val="00E2051C"/>
    <w:rsid w:val="00E26A68"/>
    <w:rsid w:val="00E348E2"/>
    <w:rsid w:val="00E34D3D"/>
    <w:rsid w:val="00E35917"/>
    <w:rsid w:val="00E405A6"/>
    <w:rsid w:val="00E42A0F"/>
    <w:rsid w:val="00E430D8"/>
    <w:rsid w:val="00E53D5F"/>
    <w:rsid w:val="00E61EB8"/>
    <w:rsid w:val="00E62421"/>
    <w:rsid w:val="00E66F4E"/>
    <w:rsid w:val="00E704A4"/>
    <w:rsid w:val="00E7062A"/>
    <w:rsid w:val="00E71D67"/>
    <w:rsid w:val="00E72C36"/>
    <w:rsid w:val="00E749BD"/>
    <w:rsid w:val="00E778C8"/>
    <w:rsid w:val="00E82E4B"/>
    <w:rsid w:val="00E86153"/>
    <w:rsid w:val="00E92496"/>
    <w:rsid w:val="00E94BBE"/>
    <w:rsid w:val="00EA20B8"/>
    <w:rsid w:val="00EA4AED"/>
    <w:rsid w:val="00EA5C98"/>
    <w:rsid w:val="00EB1AA0"/>
    <w:rsid w:val="00EB20D6"/>
    <w:rsid w:val="00EB356C"/>
    <w:rsid w:val="00EB5348"/>
    <w:rsid w:val="00EC2285"/>
    <w:rsid w:val="00ED02A7"/>
    <w:rsid w:val="00ED2125"/>
    <w:rsid w:val="00ED3DE7"/>
    <w:rsid w:val="00ED58A7"/>
    <w:rsid w:val="00ED65A6"/>
    <w:rsid w:val="00ED6AC0"/>
    <w:rsid w:val="00EE6A2E"/>
    <w:rsid w:val="00EE6DDF"/>
    <w:rsid w:val="00EE7094"/>
    <w:rsid w:val="00EF0871"/>
    <w:rsid w:val="00EF1424"/>
    <w:rsid w:val="00F02986"/>
    <w:rsid w:val="00F038D0"/>
    <w:rsid w:val="00F0425E"/>
    <w:rsid w:val="00F06DA5"/>
    <w:rsid w:val="00F07EB9"/>
    <w:rsid w:val="00F10309"/>
    <w:rsid w:val="00F142AB"/>
    <w:rsid w:val="00F2008F"/>
    <w:rsid w:val="00F2181E"/>
    <w:rsid w:val="00F27AD1"/>
    <w:rsid w:val="00F3049C"/>
    <w:rsid w:val="00F30746"/>
    <w:rsid w:val="00F31CC3"/>
    <w:rsid w:val="00F40214"/>
    <w:rsid w:val="00F458A3"/>
    <w:rsid w:val="00F55632"/>
    <w:rsid w:val="00F56C7C"/>
    <w:rsid w:val="00F61EEA"/>
    <w:rsid w:val="00F6203A"/>
    <w:rsid w:val="00F66EBC"/>
    <w:rsid w:val="00F76329"/>
    <w:rsid w:val="00F77400"/>
    <w:rsid w:val="00F83C17"/>
    <w:rsid w:val="00F85CF4"/>
    <w:rsid w:val="00F87DC7"/>
    <w:rsid w:val="00F913B2"/>
    <w:rsid w:val="00F93059"/>
    <w:rsid w:val="00F93720"/>
    <w:rsid w:val="00F93AB8"/>
    <w:rsid w:val="00FA4703"/>
    <w:rsid w:val="00FA634B"/>
    <w:rsid w:val="00FA7999"/>
    <w:rsid w:val="00FB21D9"/>
    <w:rsid w:val="00FB3093"/>
    <w:rsid w:val="00FB330D"/>
    <w:rsid w:val="00FB7B5F"/>
    <w:rsid w:val="00FC072D"/>
    <w:rsid w:val="00FC5B0B"/>
    <w:rsid w:val="00FD0202"/>
    <w:rsid w:val="00FD18B9"/>
    <w:rsid w:val="00FD3107"/>
    <w:rsid w:val="00FD4782"/>
    <w:rsid w:val="00FE02A2"/>
    <w:rsid w:val="00FE5AFD"/>
    <w:rsid w:val="00FE5CF4"/>
    <w:rsid w:val="00FE73BA"/>
    <w:rsid w:val="00FF3FC3"/>
    <w:rsid w:val="00FF5237"/>
    <w:rsid w:val="00FF6F4A"/>
    <w:rsid w:val="4D560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0"/>
    <w:pPr>
      <w:keepNext/>
      <w:keepLines/>
      <w:spacing w:before="50" w:beforeLines="50" w:after="50" w:afterLines="50" w:line="360" w:lineRule="auto"/>
      <w:ind w:firstLine="200" w:firstLineChars="200"/>
      <w:outlineLvl w:val="0"/>
    </w:pPr>
    <w:rPr>
      <w:b/>
      <w:bCs/>
      <w:kern w:val="44"/>
      <w:sz w:val="28"/>
      <w:szCs w:val="44"/>
      <w:lang w:val="zh-CN" w:eastAsia="zh-CN"/>
    </w:rPr>
  </w:style>
  <w:style w:type="paragraph" w:styleId="3">
    <w:name w:val="heading 2"/>
    <w:basedOn w:val="1"/>
    <w:next w:val="1"/>
    <w:link w:val="34"/>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5">
    <w:name w:val="annotation text"/>
    <w:basedOn w:val="1"/>
    <w:link w:val="29"/>
    <w:qFormat/>
    <w:uiPriority w:val="0"/>
    <w:pPr>
      <w:jc w:val="left"/>
    </w:pPr>
    <w:rPr>
      <w:lang w:val="zh-CN" w:eastAsia="zh-CN"/>
    </w:rPr>
  </w:style>
  <w:style w:type="paragraph" w:styleId="6">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7">
    <w:name w:val="toc 3"/>
    <w:basedOn w:val="1"/>
    <w:next w:val="1"/>
    <w:autoRedefine/>
    <w:unhideWhenUsed/>
    <w:qFormat/>
    <w:uiPriority w:val="39"/>
    <w:pPr>
      <w:widowControl/>
      <w:spacing w:after="100" w:line="276" w:lineRule="auto"/>
      <w:ind w:left="440"/>
      <w:jc w:val="left"/>
    </w:pPr>
    <w:rPr>
      <w:rFonts w:ascii="Calibri" w:hAnsi="Calibri"/>
      <w:kern w:val="0"/>
      <w:sz w:val="22"/>
      <w:szCs w:val="22"/>
    </w:rPr>
  </w:style>
  <w:style w:type="paragraph" w:styleId="8">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9">
    <w:name w:val="Balloon Text"/>
    <w:basedOn w:val="1"/>
    <w:link w:val="28"/>
    <w:qFormat/>
    <w:uiPriority w:val="99"/>
    <w:rPr>
      <w:sz w:val="18"/>
      <w:szCs w:val="18"/>
      <w:lang w:val="zh-CN" w:eastAsia="zh-CN"/>
    </w:rPr>
  </w:style>
  <w:style w:type="paragraph" w:styleId="10">
    <w:name w:val="footer"/>
    <w:basedOn w:val="1"/>
    <w:link w:val="25"/>
    <w:qFormat/>
    <w:uiPriority w:val="99"/>
    <w:pPr>
      <w:tabs>
        <w:tab w:val="center" w:pos="4153"/>
        <w:tab w:val="right" w:pos="8306"/>
      </w:tabs>
      <w:snapToGrid w:val="0"/>
      <w:jc w:val="left"/>
    </w:pPr>
    <w:rPr>
      <w:sz w:val="18"/>
      <w:szCs w:val="18"/>
      <w:lang w:val="zh-CN" w:eastAsia="zh-CN"/>
    </w:rPr>
  </w:style>
  <w:style w:type="paragraph" w:styleId="11">
    <w:name w:val="header"/>
    <w:basedOn w:val="1"/>
    <w:link w:val="24"/>
    <w:qFormat/>
    <w:uiPriority w:val="0"/>
    <w:pPr>
      <w:pBdr>
        <w:bottom w:val="single" w:color="auto" w:sz="6" w:space="1"/>
      </w:pBdr>
      <w:tabs>
        <w:tab w:val="center" w:pos="4153"/>
        <w:tab w:val="right" w:pos="8306"/>
      </w:tabs>
      <w:snapToGrid w:val="0"/>
      <w:jc w:val="center"/>
    </w:pPr>
    <w:rPr>
      <w:sz w:val="18"/>
      <w:szCs w:val="18"/>
      <w:lang w:val="zh-CN" w:eastAsia="zh-CN"/>
    </w:rPr>
  </w:style>
  <w:style w:type="paragraph" w:styleId="12">
    <w:name w:val="toc 1"/>
    <w:basedOn w:val="1"/>
    <w:next w:val="1"/>
    <w:autoRedefine/>
    <w:unhideWhenUsed/>
    <w:qFormat/>
    <w:uiPriority w:val="39"/>
    <w:pPr>
      <w:widowControl/>
      <w:tabs>
        <w:tab w:val="right" w:leader="dot" w:pos="8364"/>
      </w:tabs>
      <w:spacing w:after="100" w:line="276" w:lineRule="auto"/>
      <w:jc w:val="left"/>
    </w:pPr>
    <w:rPr>
      <w:rFonts w:ascii="Calibri" w:hAnsi="Calibri"/>
      <w:kern w:val="0"/>
      <w:sz w:val="22"/>
      <w:szCs w:val="22"/>
    </w:rPr>
  </w:style>
  <w:style w:type="paragraph" w:styleId="13">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14">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15">
    <w:name w:val="toc 2"/>
    <w:basedOn w:val="1"/>
    <w:next w:val="1"/>
    <w:autoRedefine/>
    <w:unhideWhenUsed/>
    <w:qFormat/>
    <w:uiPriority w:val="39"/>
    <w:pPr>
      <w:widowControl/>
      <w:spacing w:after="100" w:line="276" w:lineRule="auto"/>
      <w:ind w:left="220"/>
      <w:jc w:val="left"/>
    </w:pPr>
    <w:rPr>
      <w:rFonts w:ascii="Calibri" w:hAnsi="Calibri"/>
      <w:kern w:val="0"/>
      <w:sz w:val="22"/>
      <w:szCs w:val="22"/>
    </w:rPr>
  </w:style>
  <w:style w:type="paragraph" w:styleId="16">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17">
    <w:name w:val="Title"/>
    <w:next w:val="3"/>
    <w:link w:val="33"/>
    <w:qFormat/>
    <w:uiPriority w:val="0"/>
    <w:pPr>
      <w:spacing w:before="100" w:beforeAutospacing="1" w:after="100" w:afterAutospacing="1" w:line="360" w:lineRule="auto"/>
      <w:ind w:firstLine="200" w:firstLineChars="200"/>
      <w:outlineLvl w:val="1"/>
    </w:pPr>
    <w:rPr>
      <w:rFonts w:ascii="Cambria" w:hAnsi="Cambria" w:eastAsiaTheme="majorEastAsia" w:cstheme="majorBidi"/>
      <w:b/>
      <w:kern w:val="2"/>
      <w:sz w:val="24"/>
      <w:szCs w:val="32"/>
      <w:lang w:val="en-US" w:eastAsia="zh-CN" w:bidi="ar-SA"/>
    </w:rPr>
  </w:style>
  <w:style w:type="paragraph" w:styleId="18">
    <w:name w:val="annotation subject"/>
    <w:basedOn w:val="5"/>
    <w:next w:val="5"/>
    <w:link w:val="30"/>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unhideWhenUsed/>
    <w:qFormat/>
    <w:uiPriority w:val="99"/>
    <w:rPr>
      <w:color w:val="0000FF"/>
      <w:u w:val="single"/>
    </w:rPr>
  </w:style>
  <w:style w:type="character" w:styleId="23">
    <w:name w:val="annotation reference"/>
    <w:qFormat/>
    <w:uiPriority w:val="0"/>
    <w:rPr>
      <w:sz w:val="21"/>
      <w:szCs w:val="21"/>
    </w:rPr>
  </w:style>
  <w:style w:type="character" w:customStyle="1" w:styleId="24">
    <w:name w:val="页眉 Char"/>
    <w:link w:val="11"/>
    <w:qFormat/>
    <w:uiPriority w:val="0"/>
    <w:rPr>
      <w:kern w:val="2"/>
      <w:sz w:val="18"/>
      <w:szCs w:val="18"/>
    </w:rPr>
  </w:style>
  <w:style w:type="character" w:customStyle="1" w:styleId="25">
    <w:name w:val="页脚 Char"/>
    <w:link w:val="10"/>
    <w:qFormat/>
    <w:uiPriority w:val="99"/>
    <w:rPr>
      <w:kern w:val="2"/>
      <w:sz w:val="18"/>
      <w:szCs w:val="18"/>
    </w:rPr>
  </w:style>
  <w:style w:type="character" w:customStyle="1" w:styleId="26">
    <w:name w:val="标题 1 Char"/>
    <w:link w:val="2"/>
    <w:qFormat/>
    <w:uiPriority w:val="0"/>
    <w:rPr>
      <w:b/>
      <w:bCs/>
      <w:kern w:val="44"/>
      <w:sz w:val="28"/>
      <w:szCs w:val="44"/>
      <w:lang w:val="zh-CN" w:eastAsia="zh-CN"/>
    </w:rPr>
  </w:style>
  <w:style w:type="paragraph" w:customStyle="1" w:styleId="27">
    <w:name w:val="TOC Heading"/>
    <w:basedOn w:val="2"/>
    <w:next w:val="1"/>
    <w:semiHidden/>
    <w:unhideWhenUsed/>
    <w:qFormat/>
    <w:uiPriority w:val="39"/>
    <w:pPr>
      <w:widowControl/>
      <w:spacing w:before="480" w:after="0" w:line="276" w:lineRule="auto"/>
      <w:jc w:val="left"/>
      <w:outlineLvl w:val="9"/>
    </w:pPr>
    <w:rPr>
      <w:rFonts w:ascii="Cambria" w:hAnsi="Cambria"/>
      <w:color w:val="365F91"/>
      <w:kern w:val="0"/>
      <w:szCs w:val="28"/>
    </w:rPr>
  </w:style>
  <w:style w:type="character" w:customStyle="1" w:styleId="28">
    <w:name w:val="批注框文本 Char"/>
    <w:link w:val="9"/>
    <w:qFormat/>
    <w:uiPriority w:val="99"/>
    <w:rPr>
      <w:kern w:val="2"/>
      <w:sz w:val="18"/>
      <w:szCs w:val="18"/>
    </w:rPr>
  </w:style>
  <w:style w:type="character" w:customStyle="1" w:styleId="29">
    <w:name w:val="批注文字 Char"/>
    <w:link w:val="5"/>
    <w:qFormat/>
    <w:uiPriority w:val="0"/>
    <w:rPr>
      <w:kern w:val="2"/>
      <w:sz w:val="21"/>
      <w:szCs w:val="24"/>
    </w:rPr>
  </w:style>
  <w:style w:type="character" w:customStyle="1" w:styleId="30">
    <w:name w:val="批注主题 Char"/>
    <w:link w:val="18"/>
    <w:qFormat/>
    <w:uiPriority w:val="0"/>
    <w:rPr>
      <w:b/>
      <w:bCs/>
      <w:kern w:val="2"/>
      <w:sz w:val="21"/>
      <w:szCs w:val="24"/>
    </w:rPr>
  </w:style>
  <w:style w:type="paragraph" w:styleId="31">
    <w:name w:val="List Paragraph"/>
    <w:basedOn w:val="1"/>
    <w:qFormat/>
    <w:uiPriority w:val="34"/>
    <w:pPr>
      <w:ind w:firstLine="420" w:firstLineChars="200"/>
    </w:pPr>
    <w:rPr>
      <w:rFonts w:ascii="Calibri" w:hAnsi="Calibri"/>
      <w:szCs w:val="22"/>
    </w:rPr>
  </w:style>
  <w:style w:type="table" w:customStyle="1" w:styleId="32">
    <w:name w:val="网格型1"/>
    <w:basedOn w:val="19"/>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标题 Char"/>
    <w:link w:val="17"/>
    <w:qFormat/>
    <w:uiPriority w:val="0"/>
    <w:rPr>
      <w:rFonts w:ascii="Cambria" w:hAnsi="Cambria" w:eastAsiaTheme="majorEastAsia" w:cstheme="majorBidi"/>
      <w:b/>
      <w:kern w:val="2"/>
      <w:sz w:val="24"/>
      <w:szCs w:val="32"/>
    </w:rPr>
  </w:style>
  <w:style w:type="character" w:customStyle="1" w:styleId="34">
    <w:name w:val="标题 2 Char"/>
    <w:basedOn w:val="21"/>
    <w:link w:val="3"/>
    <w:semiHidden/>
    <w:qFormat/>
    <w:uiPriority w:val="0"/>
    <w:rPr>
      <w:rFonts w:asciiTheme="majorHAnsi" w:hAnsiTheme="majorHAnsi" w:eastAsiaTheme="majorEastAsia" w:cstheme="majorBidi"/>
      <w:b/>
      <w:bCs/>
      <w:kern w:val="2"/>
      <w:sz w:val="32"/>
      <w:szCs w:val="32"/>
    </w:rPr>
  </w:style>
  <w:style w:type="paragraph" w:styleId="35">
    <w:name w:val="No Spacing"/>
    <w:qFormat/>
    <w:uiPriority w:val="1"/>
    <w:pPr>
      <w:widowControl w:val="0"/>
      <w:spacing w:before="50" w:beforeLines="50" w:after="50" w:afterLines="50" w:line="360" w:lineRule="auto"/>
      <w:ind w:firstLine="20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713A0-9F92-4044-9AD1-1F3A8BB24F91}">
  <ds:schemaRefs/>
</ds:datastoreItem>
</file>

<file path=docProps/app.xml><?xml version="1.0" encoding="utf-8"?>
<Properties xmlns="http://schemas.openxmlformats.org/officeDocument/2006/extended-properties" xmlns:vt="http://schemas.openxmlformats.org/officeDocument/2006/docPropsVTypes">
  <Template>Normal</Template>
  <Pages>24</Pages>
  <Words>352</Words>
  <Characters>536</Characters>
  <Lines>132</Lines>
  <Paragraphs>37</Paragraphs>
  <TotalTime>11</TotalTime>
  <ScaleCrop>false</ScaleCrop>
  <LinksUpToDate>false</LinksUpToDate>
  <CharactersWithSpaces>571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2020-06-18T07:22:00Z</dcterms:created>
  <dc:creator>Lenovo User</dc:creator>
  <cp:lastModifiedBy>WPS_1571639552</cp:lastModifiedBy>
  <cp:lastPrinted>2016-07-14T01:53:00Z</cp:lastPrinted>
  <dcterms:modified xsi:type="dcterms:W3CDTF">2025-02-18T02:37:11Z</dcterms:modified>
  <dc:title>附件3：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eyJoZGlkIjoiZTc3MDU0OTk5M2NlZjc4ZWVlYjQwNGZmMjcwYjNiYmUiLCJ1c2VySWQiOiI2OTYyNjUxNjAifQ==</vt:lpwstr>
  </property>
  <property fmtid="{D5CDD505-2E9C-101B-9397-08002B2CF9AE}" pid="3" name="KSOProductBuildVer">
    <vt:lpwstr>2052-12.1.0.19770</vt:lpwstr>
  </property>
  <property fmtid="{D5CDD505-2E9C-101B-9397-08002B2CF9AE}" pid="4" name="ICV">
    <vt:lpwstr>0CE4C27290F74AD4AC32C853D2320627_12</vt:lpwstr>
  </property>
</Properties>
</file>